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7E4A" w:rsidRDefault="0029199E" w:rsidP="00750F3B">
      <w:pPr>
        <w:pStyle w:val="Ttulo"/>
        <w:ind w:firstLine="720"/>
      </w:pPr>
      <w:bookmarkStart w:id="0" w:name="_GoBack"/>
      <w:bookmarkEnd w:id="0"/>
      <w:r>
        <w:t>WORK PLAN WL 2019  - 2020 [</w:t>
      </w:r>
      <w:r>
        <w:rPr>
          <w:i/>
        </w:rPr>
        <w:t>partner/thematic programme</w:t>
      </w:r>
      <w:r>
        <w:t>]</w:t>
      </w:r>
    </w:p>
    <w:p w:rsidR="000A7E4A" w:rsidRDefault="000A7E4A">
      <w:pPr>
        <w:rPr>
          <w:i/>
          <w:sz w:val="24"/>
          <w:szCs w:val="24"/>
        </w:rPr>
      </w:pPr>
    </w:p>
    <w:tbl>
      <w:tblPr>
        <w:tblStyle w:val="a9"/>
        <w:tblW w:w="906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311"/>
        <w:gridCol w:w="5751"/>
      </w:tblGrid>
      <w:tr w:rsidR="000A7E4A" w:rsidRPr="00C705E6">
        <w:trPr>
          <w:trHeight w:val="40"/>
        </w:trPr>
        <w:tc>
          <w:tcPr>
            <w:tcW w:w="3311" w:type="dxa"/>
            <w:shd w:val="clear" w:color="auto" w:fill="BDD7EE"/>
            <w:tcMar>
              <w:left w:w="98" w:type="dxa"/>
            </w:tcMar>
          </w:tcPr>
          <w:p w:rsidR="000A7E4A" w:rsidRDefault="0029199E">
            <w:pPr>
              <w:rPr>
                <w:b/>
                <w:sz w:val="22"/>
                <w:szCs w:val="22"/>
              </w:rPr>
            </w:pPr>
            <w:r>
              <w:rPr>
                <w:b/>
                <w:sz w:val="22"/>
                <w:szCs w:val="22"/>
              </w:rPr>
              <w:t>Name of TB partner</w:t>
            </w:r>
          </w:p>
        </w:tc>
        <w:tc>
          <w:tcPr>
            <w:tcW w:w="5751" w:type="dxa"/>
          </w:tcPr>
          <w:p w:rsidR="000A7E4A" w:rsidRPr="0029199E" w:rsidRDefault="0029199E">
            <w:pPr>
              <w:rPr>
                <w:lang w:val="es-BO"/>
              </w:rPr>
            </w:pPr>
            <w:r w:rsidRPr="0029199E">
              <w:rPr>
                <w:lang w:val="es-BO"/>
              </w:rPr>
              <w:t>Instituto Boliviano de Investigación Forestal(IBIF)</w:t>
            </w:r>
          </w:p>
          <w:p w:rsidR="000A7E4A" w:rsidRPr="0029199E" w:rsidRDefault="000A7E4A">
            <w:pPr>
              <w:rPr>
                <w:lang w:val="es-BO"/>
              </w:rPr>
            </w:pPr>
          </w:p>
        </w:tc>
      </w:tr>
      <w:tr w:rsidR="000A7E4A" w:rsidRPr="00C705E6">
        <w:trPr>
          <w:trHeight w:val="40"/>
        </w:trPr>
        <w:tc>
          <w:tcPr>
            <w:tcW w:w="3311" w:type="dxa"/>
            <w:shd w:val="clear" w:color="auto" w:fill="BDD7EE"/>
            <w:tcMar>
              <w:left w:w="98" w:type="dxa"/>
            </w:tcMar>
          </w:tcPr>
          <w:p w:rsidR="000A7E4A" w:rsidRDefault="0029199E">
            <w:pPr>
              <w:rPr>
                <w:b/>
                <w:sz w:val="22"/>
                <w:szCs w:val="22"/>
              </w:rPr>
            </w:pPr>
            <w:r>
              <w:rPr>
                <w:b/>
                <w:sz w:val="22"/>
                <w:szCs w:val="22"/>
              </w:rPr>
              <w:t>Location of TB partner</w:t>
            </w:r>
          </w:p>
        </w:tc>
        <w:tc>
          <w:tcPr>
            <w:tcW w:w="5751" w:type="dxa"/>
          </w:tcPr>
          <w:p w:rsidR="000A7E4A" w:rsidRPr="0029199E" w:rsidRDefault="0029199E">
            <w:pPr>
              <w:rPr>
                <w:lang w:val="es-BO"/>
              </w:rPr>
            </w:pPr>
            <w:r w:rsidRPr="0029199E">
              <w:rPr>
                <w:lang w:val="es-BO"/>
              </w:rPr>
              <w:t xml:space="preserve">Calle Rio Totaitu </w:t>
            </w:r>
          </w:p>
          <w:p w:rsidR="000A7E4A" w:rsidRPr="0029199E" w:rsidRDefault="0029199E">
            <w:pPr>
              <w:rPr>
                <w:lang w:val="es-BO"/>
              </w:rPr>
            </w:pPr>
            <w:r w:rsidRPr="0029199E">
              <w:rPr>
                <w:lang w:val="es-BO"/>
              </w:rPr>
              <w:t>Casa #1</w:t>
            </w:r>
          </w:p>
          <w:p w:rsidR="000A7E4A" w:rsidRPr="0029199E" w:rsidRDefault="0029199E">
            <w:pPr>
              <w:rPr>
                <w:lang w:val="es-BO"/>
              </w:rPr>
            </w:pPr>
            <w:r w:rsidRPr="0029199E">
              <w:rPr>
                <w:lang w:val="es-BO"/>
              </w:rPr>
              <w:t>Condominio Condado de Palma Verde</w:t>
            </w:r>
          </w:p>
          <w:p w:rsidR="000A7E4A" w:rsidRPr="0029199E" w:rsidRDefault="0029199E">
            <w:pPr>
              <w:rPr>
                <w:lang w:val="es-BO"/>
              </w:rPr>
            </w:pPr>
            <w:r w:rsidRPr="0029199E">
              <w:rPr>
                <w:lang w:val="es-BO"/>
              </w:rPr>
              <w:t>B/Las Palmas</w:t>
            </w:r>
          </w:p>
          <w:p w:rsidR="000A7E4A" w:rsidRPr="0029199E" w:rsidRDefault="0029199E">
            <w:pPr>
              <w:rPr>
                <w:lang w:val="es-BO"/>
              </w:rPr>
            </w:pPr>
            <w:r w:rsidRPr="0029199E">
              <w:rPr>
                <w:lang w:val="es-BO"/>
              </w:rPr>
              <w:t>Santa Cruz, Bolivia</w:t>
            </w:r>
          </w:p>
          <w:p w:rsidR="000A7E4A" w:rsidRPr="0029199E" w:rsidRDefault="000A7E4A">
            <w:pPr>
              <w:rPr>
                <w:lang w:val="es-BO"/>
              </w:rPr>
            </w:pPr>
          </w:p>
        </w:tc>
      </w:tr>
      <w:tr w:rsidR="000A7E4A">
        <w:trPr>
          <w:trHeight w:val="40"/>
        </w:trPr>
        <w:tc>
          <w:tcPr>
            <w:tcW w:w="3311" w:type="dxa"/>
            <w:tcBorders>
              <w:top w:val="nil"/>
            </w:tcBorders>
            <w:shd w:val="clear" w:color="auto" w:fill="BDD7EE"/>
            <w:tcMar>
              <w:left w:w="98" w:type="dxa"/>
            </w:tcMar>
          </w:tcPr>
          <w:p w:rsidR="000A7E4A" w:rsidRDefault="0029199E">
            <w:pPr>
              <w:rPr>
                <w:b/>
                <w:sz w:val="22"/>
                <w:szCs w:val="22"/>
              </w:rPr>
            </w:pPr>
            <w:r>
              <w:rPr>
                <w:b/>
                <w:sz w:val="22"/>
                <w:szCs w:val="22"/>
              </w:rPr>
              <w:t>Email address</w:t>
            </w:r>
          </w:p>
        </w:tc>
        <w:tc>
          <w:tcPr>
            <w:tcW w:w="5751" w:type="dxa"/>
            <w:tcBorders>
              <w:top w:val="nil"/>
            </w:tcBorders>
          </w:tcPr>
          <w:p w:rsidR="000A7E4A" w:rsidRDefault="0029199E">
            <w:r>
              <w:t>ibif@ibifbolivia.org.bo</w:t>
            </w:r>
          </w:p>
          <w:p w:rsidR="000A7E4A" w:rsidRDefault="000A7E4A"/>
        </w:tc>
      </w:tr>
      <w:tr w:rsidR="000A7E4A" w:rsidRPr="00C705E6">
        <w:trPr>
          <w:trHeight w:val="40"/>
        </w:trPr>
        <w:tc>
          <w:tcPr>
            <w:tcW w:w="3311" w:type="dxa"/>
            <w:tcBorders>
              <w:top w:val="nil"/>
            </w:tcBorders>
            <w:shd w:val="clear" w:color="auto" w:fill="BDD7EE"/>
            <w:tcMar>
              <w:left w:w="98" w:type="dxa"/>
            </w:tcMar>
          </w:tcPr>
          <w:p w:rsidR="000A7E4A" w:rsidRDefault="0029199E">
            <w:pPr>
              <w:rPr>
                <w:b/>
                <w:sz w:val="22"/>
                <w:szCs w:val="22"/>
              </w:rPr>
            </w:pPr>
            <w:r>
              <w:rPr>
                <w:b/>
                <w:sz w:val="22"/>
                <w:szCs w:val="22"/>
              </w:rPr>
              <w:t>Primary Contact person for WL</w:t>
            </w:r>
          </w:p>
        </w:tc>
        <w:tc>
          <w:tcPr>
            <w:tcW w:w="5751" w:type="dxa"/>
            <w:tcBorders>
              <w:top w:val="nil"/>
            </w:tcBorders>
          </w:tcPr>
          <w:p w:rsidR="000A7E4A" w:rsidRPr="0029199E" w:rsidRDefault="0029199E">
            <w:pPr>
              <w:rPr>
                <w:lang w:val="es-BO"/>
              </w:rPr>
            </w:pPr>
            <w:r w:rsidRPr="0029199E">
              <w:rPr>
                <w:lang w:val="es-BO"/>
              </w:rPr>
              <w:t xml:space="preserve">Juan Carlos Licona, </w:t>
            </w:r>
            <w:r w:rsidRPr="0029199E">
              <w:rPr>
                <w:color w:val="1155CC"/>
                <w:sz w:val="22"/>
                <w:szCs w:val="22"/>
                <w:highlight w:val="white"/>
                <w:lang w:val="es-BO"/>
              </w:rPr>
              <w:t>j.c.licona.vasquez@gmail.com</w:t>
            </w:r>
          </w:p>
          <w:p w:rsidR="000A7E4A" w:rsidRPr="0029199E" w:rsidRDefault="000A7E4A">
            <w:pPr>
              <w:rPr>
                <w:lang w:val="es-BO"/>
              </w:rPr>
            </w:pPr>
          </w:p>
        </w:tc>
      </w:tr>
      <w:tr w:rsidR="000A7E4A">
        <w:trPr>
          <w:trHeight w:val="40"/>
        </w:trPr>
        <w:tc>
          <w:tcPr>
            <w:tcW w:w="3311" w:type="dxa"/>
            <w:shd w:val="clear" w:color="auto" w:fill="BDD7EE"/>
            <w:tcMar>
              <w:left w:w="98" w:type="dxa"/>
            </w:tcMar>
          </w:tcPr>
          <w:p w:rsidR="000A7E4A" w:rsidRDefault="0029199E">
            <w:pPr>
              <w:rPr>
                <w:b/>
                <w:sz w:val="22"/>
                <w:szCs w:val="22"/>
              </w:rPr>
            </w:pPr>
            <w:r>
              <w:rPr>
                <w:b/>
                <w:sz w:val="22"/>
                <w:szCs w:val="22"/>
              </w:rPr>
              <w:t>Location of activities</w:t>
            </w:r>
          </w:p>
          <w:p w:rsidR="000A7E4A" w:rsidRDefault="000A7E4A">
            <w:pPr>
              <w:rPr>
                <w:b/>
                <w:sz w:val="22"/>
                <w:szCs w:val="22"/>
              </w:rPr>
            </w:pPr>
          </w:p>
        </w:tc>
        <w:tc>
          <w:tcPr>
            <w:tcW w:w="5751" w:type="dxa"/>
          </w:tcPr>
          <w:p w:rsidR="000A7E4A" w:rsidRDefault="0029199E">
            <w:r>
              <w:t>Indigenous territory of Guarayos, Bolivia, thematic programmes:NDC, B&amp;F, Agrocommodities, Gender</w:t>
            </w:r>
          </w:p>
        </w:tc>
      </w:tr>
      <w:tr w:rsidR="000A7E4A">
        <w:trPr>
          <w:trHeight w:val="40"/>
        </w:trPr>
        <w:tc>
          <w:tcPr>
            <w:tcW w:w="3311" w:type="dxa"/>
            <w:tcBorders>
              <w:top w:val="nil"/>
            </w:tcBorders>
            <w:shd w:val="clear" w:color="auto" w:fill="BDD7EE"/>
            <w:tcMar>
              <w:left w:w="98" w:type="dxa"/>
            </w:tcMar>
          </w:tcPr>
          <w:p w:rsidR="000A7E4A" w:rsidRDefault="0029199E">
            <w:pPr>
              <w:rPr>
                <w:b/>
                <w:sz w:val="22"/>
                <w:szCs w:val="22"/>
              </w:rPr>
            </w:pPr>
            <w:r>
              <w:rPr>
                <w:b/>
                <w:sz w:val="22"/>
                <w:szCs w:val="22"/>
              </w:rPr>
              <w:t>Project Title</w:t>
            </w:r>
          </w:p>
        </w:tc>
        <w:tc>
          <w:tcPr>
            <w:tcW w:w="5751" w:type="dxa"/>
            <w:tcBorders>
              <w:top w:val="nil"/>
            </w:tcBorders>
          </w:tcPr>
          <w:p w:rsidR="000A7E4A" w:rsidRDefault="000A7E4A"/>
          <w:p w:rsidR="000A7E4A" w:rsidRDefault="000A7E4A"/>
        </w:tc>
      </w:tr>
    </w:tbl>
    <w:p w:rsidR="000A7E4A" w:rsidRDefault="000A7E4A"/>
    <w:p w:rsidR="000A7E4A" w:rsidRDefault="00246FC8">
      <w:pPr>
        <w:pStyle w:val="Ttulo1"/>
      </w:pPr>
      <w:r>
        <w:rPr>
          <w:u w:val="single"/>
        </w:rPr>
        <w:t xml:space="preserve">List of </w:t>
      </w:r>
      <w:r w:rsidR="0029199E">
        <w:rPr>
          <w:u w:val="single"/>
        </w:rPr>
        <w:t>abbreviations</w:t>
      </w:r>
      <w:r w:rsidR="0029199E">
        <w:t>________________________________________</w:t>
      </w:r>
    </w:p>
    <w:p w:rsidR="007C19B9" w:rsidRDefault="007C19B9" w:rsidP="007C19B9">
      <w:pPr>
        <w:rPr>
          <w:lang w:val="es-BO"/>
        </w:rPr>
      </w:pPr>
      <w:r w:rsidRPr="002E61DC">
        <w:rPr>
          <w:lang w:val="es-BO"/>
        </w:rPr>
        <w:t>ABT: Autoridad de Fiscalización y Control Social de Bosques y Tierras; Forest Service</w:t>
      </w:r>
    </w:p>
    <w:p w:rsidR="007C19B9" w:rsidRDefault="007C19B9" w:rsidP="007C19B9">
      <w:pPr>
        <w:rPr>
          <w:lang w:val="es-BO"/>
        </w:rPr>
      </w:pPr>
      <w:r w:rsidRPr="002E61DC">
        <w:rPr>
          <w:lang w:val="es-BO"/>
        </w:rPr>
        <w:t xml:space="preserve">CECU: </w:t>
      </w:r>
      <w:r>
        <w:rPr>
          <w:lang w:val="es-BO"/>
        </w:rPr>
        <w:t>Central Comunal de Urubicha; Indigenous regional organization for Urubicha</w:t>
      </w:r>
    </w:p>
    <w:p w:rsidR="007C19B9" w:rsidRDefault="007C19B9" w:rsidP="007C19B9">
      <w:pPr>
        <w:rPr>
          <w:lang w:val="es-BO"/>
        </w:rPr>
      </w:pPr>
      <w:r w:rsidRPr="007C19B9">
        <w:rPr>
          <w:lang w:val="es-BO"/>
        </w:rPr>
        <w:t>CIEA: Central Interétnica de Ascensión: indigenous regional organization for Ascencion</w:t>
      </w:r>
    </w:p>
    <w:p w:rsidR="007C19B9" w:rsidRPr="002E61DC" w:rsidRDefault="007C19B9" w:rsidP="007C19B9">
      <w:pPr>
        <w:rPr>
          <w:lang w:val="es-BO"/>
        </w:rPr>
      </w:pPr>
      <w:r>
        <w:rPr>
          <w:lang w:val="es-BO"/>
        </w:rPr>
        <w:t>COPNAG: Central de Pueblos Nativos de Guarayos; territorial government for Guarayos</w:t>
      </w:r>
    </w:p>
    <w:p w:rsidR="007C19B9" w:rsidRDefault="007C19B9" w:rsidP="007C19B9">
      <w:pPr>
        <w:rPr>
          <w:lang w:val="es-BO"/>
        </w:rPr>
      </w:pPr>
      <w:r w:rsidRPr="002E61DC">
        <w:rPr>
          <w:lang w:val="es-BO"/>
        </w:rPr>
        <w:t>IBIF: Instituto Boliviano de Investigaci</w:t>
      </w:r>
      <w:r>
        <w:rPr>
          <w:lang w:val="es-BO"/>
        </w:rPr>
        <w:t xml:space="preserve">ón Forestal </w:t>
      </w:r>
    </w:p>
    <w:p w:rsidR="007C19B9" w:rsidRPr="002E61DC" w:rsidRDefault="007C19B9" w:rsidP="007C19B9">
      <w:pPr>
        <w:rPr>
          <w:lang w:val="es-BO"/>
        </w:rPr>
      </w:pPr>
      <w:r>
        <w:rPr>
          <w:lang w:val="es-BO"/>
        </w:rPr>
        <w:t>MMAyA: Ministerio de Medio Ambiente y Agua</w:t>
      </w:r>
    </w:p>
    <w:p w:rsidR="000A7E4A" w:rsidRDefault="0029199E">
      <w:r>
        <w:t>NDC</w:t>
      </w:r>
      <w:r w:rsidR="002E61DC">
        <w:t>: Nationally defined contributions</w:t>
      </w:r>
    </w:p>
    <w:p w:rsidR="000A7E4A" w:rsidRDefault="0029199E">
      <w:r>
        <w:t>OFC</w:t>
      </w:r>
      <w:r w:rsidR="002E61DC">
        <w:t>: Organización forestal comunitaria; community forest organization</w:t>
      </w:r>
    </w:p>
    <w:p w:rsidR="000A7E4A" w:rsidRPr="00AD724C" w:rsidRDefault="000A7E4A"/>
    <w:p w:rsidR="000A7E4A" w:rsidRPr="00AD724C" w:rsidRDefault="000A7E4A"/>
    <w:p w:rsidR="000A7E4A" w:rsidRPr="00AD724C" w:rsidRDefault="000A7E4A"/>
    <w:p w:rsidR="000A7E4A" w:rsidRPr="00AD724C" w:rsidRDefault="000A7E4A"/>
    <w:p w:rsidR="000A7E4A" w:rsidRDefault="0029199E">
      <w:r>
        <w:t>...</w:t>
      </w:r>
    </w:p>
    <w:p w:rsidR="000A7E4A" w:rsidRDefault="0029199E">
      <w:r>
        <w:lastRenderedPageBreak/>
        <w:br w:type="page"/>
      </w:r>
    </w:p>
    <w:p w:rsidR="000A7E4A" w:rsidRDefault="0029199E">
      <w:pPr>
        <w:pStyle w:val="Ttulo1"/>
      </w:pPr>
      <w:r>
        <w:lastRenderedPageBreak/>
        <w:t>SUMMARY</w:t>
      </w:r>
    </w:p>
    <w:p w:rsidR="000A7E4A" w:rsidRDefault="0029199E">
      <w:pPr>
        <w:rPr>
          <w:i/>
        </w:rPr>
      </w:pPr>
      <w:r>
        <w:rPr>
          <w:i/>
        </w:rPr>
        <w:t>Give a brief summary (200-300 words) of this work plan (2019 – 2020). Think about the main expected outcomes and strategies in each of the three ‘pillars’ of Working Landscapes, and for gender &amp; youth (F/M):</w:t>
      </w:r>
    </w:p>
    <w:p w:rsidR="000A7E4A" w:rsidRDefault="000A7E4A"/>
    <w:p w:rsidR="000B2EE1" w:rsidRDefault="00246FC8" w:rsidP="00246FC8">
      <w:pPr>
        <w:spacing w:after="160"/>
        <w:jc w:val="both"/>
      </w:pPr>
      <w:r>
        <w:t>For 2019-2020, our Working Landscapes Program for Guarayos</w:t>
      </w:r>
      <w:r w:rsidR="00AF674A">
        <w:t xml:space="preserve"> </w:t>
      </w:r>
      <w:r w:rsidR="005A32B8">
        <w:t>will initiate efforts to gain support from the current transitionary government towards recognizing the importance of community forest management in achieving NDCs. Additionally, working with indigenous organizations (centrales indigenas) to develop policies and practices better aimed at increasing resilience and sustainability in Guarayos as well as pressuring the territorial government of Guarayos, the COPNAG; to improve governance over the landscape. We will continue efforts to improve local capacities related to forest management in the OFCs as way to empower people and give them local control over their forest resources; specifically focusing on improving financial readiness and business know-how as well as working towards inclusive business and financing mechanisms.</w:t>
      </w:r>
      <w:r w:rsidR="000B2EE1">
        <w:t xml:space="preserve"> We will work with government entities to aid in the development of key partnerships between the private and community forest sector. An evaluation in Guarayos will guide the interventions mentioned in this work plan to work towards increasing the participation of women and youth. The participation of these poorly represented groups is key to the success of the planned activities. Additionally, youth entrepreneurship is an important element in the appropriation of communities over their forest resources and as a tool in reduction of poverty and development of local economies.</w:t>
      </w:r>
    </w:p>
    <w:p w:rsidR="005A32B8" w:rsidRDefault="005A32B8" w:rsidP="00246FC8">
      <w:pPr>
        <w:spacing w:after="160"/>
        <w:jc w:val="both"/>
      </w:pPr>
    </w:p>
    <w:p w:rsidR="000A7E4A" w:rsidRDefault="0029199E">
      <w:pPr>
        <w:pStyle w:val="Ttulo1"/>
      </w:pPr>
      <w:r>
        <w:t>PART ONE: Work Plan 2019 – 2020</w:t>
      </w:r>
    </w:p>
    <w:p w:rsidR="000A7E4A" w:rsidRDefault="0029199E">
      <w:pPr>
        <w:pStyle w:val="Ttulo2"/>
        <w:numPr>
          <w:ilvl w:val="1"/>
          <w:numId w:val="6"/>
        </w:numPr>
      </w:pPr>
      <w:r>
        <w:t>Theory of Change 2019</w:t>
      </w:r>
    </w:p>
    <w:p w:rsidR="000A7E4A" w:rsidRDefault="000A7E4A"/>
    <w:p w:rsidR="000A7E4A" w:rsidRDefault="0029199E">
      <w:pPr>
        <w:spacing w:after="160"/>
        <w:jc w:val="both"/>
      </w:pPr>
      <w:r>
        <w:t>In IBIF´s vision of success, Guarayos is the model of a well-governed climate-smart indigenous territory with national government recognition and identified as a main strategy for Bolivia´s compliance with NDCs.</w:t>
      </w:r>
    </w:p>
    <w:p w:rsidR="000A7E4A" w:rsidRDefault="0029199E">
      <w:pPr>
        <w:spacing w:after="160"/>
        <w:jc w:val="both"/>
      </w:pPr>
      <w:bookmarkStart w:id="1" w:name="_heading=h.1fob9te" w:colFirst="0" w:colLast="0"/>
      <w:bookmarkEnd w:id="1"/>
      <w:r>
        <w:t xml:space="preserve">Indigenous leaders govern the territory in an inclusive, transparent and democratic manner in close collaboration with municipalities, governors and national government institutions. Integrated land and forest management practices, that combine traditional Guarayo values, knowledge and beliefs </w:t>
      </w:r>
      <w:r>
        <w:lastRenderedPageBreak/>
        <w:t>with scientific knowhow and low cost technologies allow for sustainable food production and income generation based on sustainable use of forest resources which constitute the basis for local livelihoods. Men, women and youngsters actively participate in the decision-making processes of their territory and opportunities exist for the pursuit of their own vision of development considering cultural, gender and generational points of view and thus reducing their vulnerability</w:t>
      </w:r>
      <w:r w:rsidR="00AD724C">
        <w:t xml:space="preserve"> to</w:t>
      </w:r>
      <w:r>
        <w:t xml:space="preserve"> climate change.</w:t>
      </w:r>
    </w:p>
    <w:p w:rsidR="000A7E4A" w:rsidRDefault="0029199E">
      <w:pPr>
        <w:spacing w:after="160"/>
        <w:jc w:val="both"/>
      </w:pPr>
      <w:r>
        <w:t xml:space="preserve">Inclusive and transparent business relations between indigenous communities and forest companies have been developed based on trust and just prices thereby increasing economic benefits for the local people. These business relations are based on the exchange of commercial and negotiation capacities as well as strengthening of communities’ administrative capacities, negotiation and self-financing skills (financial readiness). These business and financial mechanisms developed in Guarayos increases the economic and social value of forested lands in the territory thereby increasing local </w:t>
      </w:r>
      <w:r w:rsidR="005E33C5">
        <w:t>peoples’</w:t>
      </w:r>
      <w:r>
        <w:t xml:space="preserve"> participation in the application of territorial land and forest use planning and monitoring. </w:t>
      </w:r>
    </w:p>
    <w:p w:rsidR="000A7E4A" w:rsidRDefault="0029199E">
      <w:pPr>
        <w:spacing w:after="160"/>
        <w:jc w:val="both"/>
      </w:pPr>
      <w:r>
        <w:t xml:space="preserve">Increased Guarayos people's participation has led to the development </w:t>
      </w:r>
      <w:r w:rsidR="005E33C5">
        <w:t>of internal</w:t>
      </w:r>
      <w:r>
        <w:t xml:space="preserve"> regulations to limit the possibility to deforest forested lands for other purposes than small scale climate smart agriculture. COPNAG assures compliance with internally established rules and regulations on the use of natural resources within the indigenous territory and regarding equal distribution of economic benefits from land and forest use and from commercial contracts with third parties in coordination with the Bolivian Forest Service (ABT) and other government institutions.</w:t>
      </w:r>
    </w:p>
    <w:p w:rsidR="000A7E4A" w:rsidRDefault="0029199E">
      <w:pPr>
        <w:spacing w:after="120" w:line="276" w:lineRule="auto"/>
        <w:jc w:val="both"/>
      </w:pPr>
      <w:r>
        <w:t xml:space="preserve">Keeping in mind the vision of success described above, we work identifying the necessary conditions to generate that vision of success. We have defined a set </w:t>
      </w:r>
      <w:r w:rsidR="005E33C5">
        <w:t xml:space="preserve">of </w:t>
      </w:r>
      <w:r w:rsidR="005E33C5">
        <w:rPr>
          <w:b/>
        </w:rPr>
        <w:t>key</w:t>
      </w:r>
      <w:r>
        <w:rPr>
          <w:b/>
        </w:rPr>
        <w:t xml:space="preserve"> end outcomes</w:t>
      </w:r>
      <w:r>
        <w:t xml:space="preserve"> (in the sphere of interest) of the program in the landscape in Bolivia and a set of </w:t>
      </w:r>
      <w:r>
        <w:rPr>
          <w:b/>
        </w:rPr>
        <w:t>intermediate outcomes</w:t>
      </w:r>
      <w:r>
        <w:t xml:space="preserve"> (in the sphere of influence) in our theory of change.</w:t>
      </w:r>
    </w:p>
    <w:p w:rsidR="000A7E4A" w:rsidRDefault="000A7E4A">
      <w:pPr>
        <w:spacing w:after="160"/>
        <w:jc w:val="both"/>
      </w:pPr>
    </w:p>
    <w:p w:rsidR="000A7E4A" w:rsidRDefault="000A7E4A"/>
    <w:p w:rsidR="000A7E4A" w:rsidRDefault="000A7E4A">
      <w:pPr>
        <w:rPr>
          <w:i/>
        </w:rPr>
      </w:pPr>
    </w:p>
    <w:p w:rsidR="0029199E" w:rsidRDefault="0029199E">
      <w:pPr>
        <w:rPr>
          <w:i/>
        </w:rPr>
      </w:pPr>
    </w:p>
    <w:p w:rsidR="0029199E" w:rsidRDefault="0029199E">
      <w:pPr>
        <w:rPr>
          <w:i/>
        </w:rPr>
      </w:pPr>
    </w:p>
    <w:p w:rsidR="0029199E" w:rsidRDefault="0029199E">
      <w:pPr>
        <w:rPr>
          <w:i/>
        </w:rPr>
      </w:pPr>
    </w:p>
    <w:p w:rsidR="0029199E" w:rsidRDefault="0029199E">
      <w:pPr>
        <w:rPr>
          <w:i/>
        </w:rPr>
      </w:pPr>
    </w:p>
    <w:p w:rsidR="0029199E" w:rsidRDefault="0029199E">
      <w:pPr>
        <w:rPr>
          <w:i/>
        </w:rPr>
      </w:pPr>
    </w:p>
    <w:p w:rsidR="0029199E" w:rsidRDefault="0029199E">
      <w:pPr>
        <w:rPr>
          <w:i/>
        </w:rPr>
      </w:pPr>
    </w:p>
    <w:p w:rsidR="0029199E" w:rsidRDefault="0029199E">
      <w:pPr>
        <w:rPr>
          <w:i/>
        </w:rPr>
      </w:pPr>
    </w:p>
    <w:p w:rsidR="0029199E" w:rsidRDefault="0029199E">
      <w:pPr>
        <w:rPr>
          <w:i/>
        </w:rPr>
      </w:pPr>
    </w:p>
    <w:p w:rsidR="0029199E" w:rsidRDefault="0029199E">
      <w:pPr>
        <w:rPr>
          <w:i/>
        </w:rPr>
      </w:pPr>
    </w:p>
    <w:p w:rsidR="0029199E" w:rsidRDefault="0029199E">
      <w:pPr>
        <w:rPr>
          <w:i/>
        </w:rPr>
      </w:pPr>
      <w:r>
        <w:rPr>
          <w:i/>
        </w:rPr>
        <w:br w:type="page"/>
      </w:r>
    </w:p>
    <w:p w:rsidR="0029199E" w:rsidRDefault="0029199E">
      <w:pPr>
        <w:rPr>
          <w:i/>
        </w:rPr>
      </w:pPr>
    </w:p>
    <w:p w:rsidR="0029199E" w:rsidRDefault="0029199E">
      <w:pPr>
        <w:rPr>
          <w:i/>
        </w:rPr>
      </w:pPr>
    </w:p>
    <w:p w:rsidR="000A7E4A" w:rsidRDefault="0029199E">
      <w:pPr>
        <w:rPr>
          <w:i/>
        </w:rPr>
      </w:pPr>
      <w:r>
        <w:rPr>
          <w:i/>
          <w:noProof/>
        </w:rPr>
        <w:drawing>
          <wp:inline distT="114300" distB="114300" distL="114300" distR="114300">
            <wp:extent cx="9153525" cy="514350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9153525" cy="5143500"/>
                    </a:xfrm>
                    <a:prstGeom prst="rect">
                      <a:avLst/>
                    </a:prstGeom>
                    <a:ln/>
                  </pic:spPr>
                </pic:pic>
              </a:graphicData>
            </a:graphic>
          </wp:inline>
        </w:drawing>
      </w:r>
    </w:p>
    <w:p w:rsidR="000A7E4A" w:rsidRDefault="000A7E4A">
      <w:pPr>
        <w:rPr>
          <w:i/>
        </w:rPr>
      </w:pPr>
    </w:p>
    <w:p w:rsidR="000A7E4A" w:rsidRDefault="0029199E">
      <w:pPr>
        <w:pStyle w:val="Ttulo2"/>
        <w:numPr>
          <w:ilvl w:val="1"/>
          <w:numId w:val="6"/>
        </w:numPr>
      </w:pPr>
      <w:r>
        <w:t>ToC outcomes to which you expect to contribute</w:t>
      </w:r>
    </w:p>
    <w:p w:rsidR="000A7E4A" w:rsidRDefault="000A7E4A"/>
    <w:p w:rsidR="000A7E4A" w:rsidRDefault="0029199E">
      <w:r>
        <w:t>In 2020 we expect to contribute to the following outcomes:</w:t>
      </w:r>
    </w:p>
    <w:p w:rsidR="000A7E4A" w:rsidRDefault="000A7E4A"/>
    <w:p w:rsidR="000A7E4A" w:rsidRDefault="0029199E">
      <w:r>
        <w:t>1. The Ministry of Environment and Water recognizes the importance of community forest management for achieving the NDCs</w:t>
      </w:r>
    </w:p>
    <w:p w:rsidR="000A7E4A" w:rsidRDefault="0029199E">
      <w:r>
        <w:t>2. COPNAG implements an adjusted and new Territorial Life Plan that reflects the vision of their base organizations</w:t>
      </w:r>
    </w:p>
    <w:p w:rsidR="000A7E4A" w:rsidRDefault="0029199E">
      <w:r>
        <w:t>3. Centrales Indigenas guide the development of internal regulations related to the implementation of policies and practices that increase the resilience and sustainability of the Guarayos indigenous territory</w:t>
      </w:r>
    </w:p>
    <w:p w:rsidR="000A7E4A" w:rsidRDefault="0029199E">
      <w:r>
        <w:t>4. AIFG, OFCs and other producer organisations are well organised and have the technical and political capacities to represent their interests towards public, private, and civil actors</w:t>
      </w:r>
    </w:p>
    <w:p w:rsidR="000A7E4A" w:rsidRDefault="0029199E">
      <w:r>
        <w:t>6. Stakeholders sign agreements about the development and implementation of policies and practices that increase the resilience and sustainability of the landscape</w:t>
      </w:r>
    </w:p>
    <w:p w:rsidR="000A7E4A" w:rsidRDefault="0029199E">
      <w:r>
        <w:t>8. ABT fully enforces compliance of Guarayos territorial Life Plan, internal regulations and national forest and land policies in the Guarayos indigenpus territory</w:t>
      </w:r>
    </w:p>
    <w:p w:rsidR="000A7E4A" w:rsidRDefault="0029199E">
      <w:r>
        <w:t>9. Forest Directorate has approved legislation and policies that favour forestry business partnerships to increase forest benefits and reduce land use change</w:t>
      </w:r>
    </w:p>
    <w:p w:rsidR="000A7E4A" w:rsidRDefault="0029199E">
      <w:r>
        <w:t xml:space="preserve">10. Financial institutions offer innovative financial mechanisms to facilitate </w:t>
      </w:r>
    </w:p>
    <w:p w:rsidR="000A7E4A" w:rsidRDefault="0029199E">
      <w:r>
        <w:t>11. Private forest enterprises co-create innovative business partnerships with OFCs and other producer organizations</w:t>
      </w:r>
    </w:p>
    <w:p w:rsidR="000A7E4A" w:rsidRDefault="000A7E4A"/>
    <w:p w:rsidR="000A7E4A" w:rsidRDefault="0029199E">
      <w:pPr>
        <w:pStyle w:val="Ttulo2"/>
        <w:keepNext w:val="0"/>
        <w:keepLines w:val="0"/>
        <w:numPr>
          <w:ilvl w:val="1"/>
          <w:numId w:val="6"/>
        </w:numPr>
        <w:spacing w:before="0"/>
      </w:pPr>
      <w:r>
        <w:t>Outcome framework</w:t>
      </w:r>
    </w:p>
    <w:p w:rsidR="000A7E4A" w:rsidRDefault="000A7E4A">
      <w:pPr>
        <w:rPr>
          <w:i/>
        </w:rPr>
      </w:pPr>
    </w:p>
    <w:p w:rsidR="000A7E4A" w:rsidRDefault="0029199E">
      <w:pPr>
        <w:pStyle w:val="Ttulo3"/>
      </w:pPr>
      <w:r>
        <w:t xml:space="preserve">Table 1: Outcomes </w:t>
      </w:r>
    </w:p>
    <w:p w:rsidR="000A7E4A" w:rsidRDefault="000A7E4A">
      <w:pPr>
        <w:pBdr>
          <w:top w:val="nil"/>
          <w:left w:val="nil"/>
          <w:bottom w:val="nil"/>
          <w:right w:val="nil"/>
          <w:between w:val="nil"/>
        </w:pBdr>
        <w:rPr>
          <w:color w:val="00000A"/>
        </w:rPr>
      </w:pPr>
    </w:p>
    <w:tbl>
      <w:tblPr>
        <w:tblStyle w:val="aa"/>
        <w:tblW w:w="14703" w:type="dxa"/>
        <w:tblInd w:w="90" w:type="dxa"/>
        <w:tblLayout w:type="fixed"/>
        <w:tblLook w:val="0400" w:firstRow="0" w:lastRow="0" w:firstColumn="0" w:lastColumn="0" w:noHBand="0" w:noVBand="1"/>
      </w:tblPr>
      <w:tblGrid>
        <w:gridCol w:w="1226"/>
        <w:gridCol w:w="1554"/>
        <w:gridCol w:w="1413"/>
        <w:gridCol w:w="1412"/>
        <w:gridCol w:w="1271"/>
        <w:gridCol w:w="1980"/>
        <w:gridCol w:w="1129"/>
        <w:gridCol w:w="1129"/>
        <w:gridCol w:w="982"/>
        <w:gridCol w:w="1199"/>
        <w:gridCol w:w="704"/>
        <w:gridCol w:w="704"/>
      </w:tblGrid>
      <w:tr w:rsidR="000A7E4A">
        <w:trPr>
          <w:trHeight w:val="540"/>
        </w:trPr>
        <w:tc>
          <w:tcPr>
            <w:tcW w:w="1226" w:type="dxa"/>
            <w:tcBorders>
              <w:top w:val="single" w:sz="4" w:space="0" w:color="000000"/>
              <w:left w:val="single" w:sz="4" w:space="0" w:color="000000"/>
              <w:bottom w:val="nil"/>
              <w:right w:val="single" w:sz="4" w:space="0" w:color="000000"/>
            </w:tcBorders>
            <w:shd w:val="clear" w:color="auto" w:fill="DDEBF7"/>
            <w:vAlign w:val="center"/>
          </w:tcPr>
          <w:p w:rsidR="000A7E4A" w:rsidRDefault="0029199E">
            <w:pP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1554" w:type="dxa"/>
            <w:tcBorders>
              <w:top w:val="single" w:sz="4" w:space="0" w:color="000000"/>
              <w:left w:val="nil"/>
              <w:bottom w:val="nil"/>
              <w:right w:val="single" w:sz="4" w:space="0" w:color="000000"/>
            </w:tcBorders>
            <w:shd w:val="clear" w:color="auto" w:fill="DDEBF7"/>
            <w:vAlign w:val="center"/>
          </w:tcPr>
          <w:p w:rsidR="000A7E4A" w:rsidRDefault="0029199E">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1413" w:type="dxa"/>
            <w:tcBorders>
              <w:top w:val="single" w:sz="4" w:space="0" w:color="000000"/>
              <w:left w:val="nil"/>
              <w:bottom w:val="nil"/>
              <w:right w:val="single" w:sz="4" w:space="0" w:color="000000"/>
            </w:tcBorders>
            <w:shd w:val="clear" w:color="auto" w:fill="DDEBF7"/>
            <w:vAlign w:val="center"/>
          </w:tcPr>
          <w:p w:rsidR="000A7E4A" w:rsidRDefault="0029199E">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1412" w:type="dxa"/>
            <w:tcBorders>
              <w:top w:val="single" w:sz="4" w:space="0" w:color="000000"/>
              <w:left w:val="nil"/>
              <w:bottom w:val="nil"/>
              <w:right w:val="single" w:sz="4" w:space="0" w:color="000000"/>
            </w:tcBorders>
            <w:shd w:val="clear" w:color="auto" w:fill="DDEBF7"/>
            <w:vAlign w:val="center"/>
          </w:tcPr>
          <w:p w:rsidR="000A7E4A" w:rsidRDefault="0029199E">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1271" w:type="dxa"/>
            <w:tcBorders>
              <w:top w:val="single" w:sz="4" w:space="0" w:color="000000"/>
              <w:left w:val="nil"/>
              <w:bottom w:val="nil"/>
              <w:right w:val="single" w:sz="4" w:space="0" w:color="000000"/>
            </w:tcBorders>
            <w:shd w:val="clear" w:color="auto" w:fill="DDEBF7"/>
            <w:vAlign w:val="center"/>
          </w:tcPr>
          <w:p w:rsidR="000A7E4A" w:rsidRDefault="0029199E">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1980" w:type="dxa"/>
            <w:tcBorders>
              <w:top w:val="single" w:sz="4" w:space="0" w:color="000000"/>
              <w:left w:val="nil"/>
              <w:bottom w:val="nil"/>
              <w:right w:val="single" w:sz="4" w:space="0" w:color="000000"/>
            </w:tcBorders>
            <w:shd w:val="clear" w:color="auto" w:fill="DDEBF7"/>
            <w:vAlign w:val="center"/>
          </w:tcPr>
          <w:p w:rsidR="000A7E4A" w:rsidRDefault="0029199E">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w:t>
            </w:r>
          </w:p>
        </w:tc>
        <w:tc>
          <w:tcPr>
            <w:tcW w:w="1129" w:type="dxa"/>
            <w:tcBorders>
              <w:top w:val="single" w:sz="4" w:space="0" w:color="000000"/>
              <w:left w:val="nil"/>
              <w:bottom w:val="nil"/>
              <w:right w:val="single" w:sz="4" w:space="0" w:color="000000"/>
            </w:tcBorders>
            <w:shd w:val="clear" w:color="auto" w:fill="DDEBF7"/>
            <w:vAlign w:val="center"/>
          </w:tcPr>
          <w:p w:rsidR="000A7E4A" w:rsidRDefault="0029199E">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7</w:t>
            </w:r>
          </w:p>
        </w:tc>
        <w:tc>
          <w:tcPr>
            <w:tcW w:w="1129" w:type="dxa"/>
            <w:tcBorders>
              <w:top w:val="single" w:sz="4" w:space="0" w:color="000000"/>
              <w:left w:val="nil"/>
              <w:bottom w:val="nil"/>
              <w:right w:val="single" w:sz="4" w:space="0" w:color="000000"/>
            </w:tcBorders>
            <w:shd w:val="clear" w:color="auto" w:fill="DDEBF7"/>
            <w:vAlign w:val="center"/>
          </w:tcPr>
          <w:p w:rsidR="000A7E4A" w:rsidRDefault="0029199E">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8</w:t>
            </w:r>
          </w:p>
        </w:tc>
        <w:tc>
          <w:tcPr>
            <w:tcW w:w="982" w:type="dxa"/>
            <w:tcBorders>
              <w:top w:val="single" w:sz="4" w:space="0" w:color="000000"/>
              <w:left w:val="nil"/>
              <w:bottom w:val="nil"/>
              <w:right w:val="single" w:sz="4" w:space="0" w:color="000000"/>
            </w:tcBorders>
            <w:shd w:val="clear" w:color="auto" w:fill="DDEBF7"/>
            <w:vAlign w:val="center"/>
          </w:tcPr>
          <w:p w:rsidR="000A7E4A" w:rsidRDefault="0029199E">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w:t>
            </w:r>
          </w:p>
        </w:tc>
        <w:tc>
          <w:tcPr>
            <w:tcW w:w="1199" w:type="dxa"/>
            <w:tcBorders>
              <w:top w:val="single" w:sz="4" w:space="0" w:color="000000"/>
              <w:left w:val="nil"/>
              <w:bottom w:val="nil"/>
              <w:right w:val="single" w:sz="4" w:space="0" w:color="000000"/>
            </w:tcBorders>
            <w:shd w:val="clear" w:color="auto" w:fill="DDEBF7"/>
            <w:vAlign w:val="center"/>
          </w:tcPr>
          <w:p w:rsidR="000A7E4A" w:rsidRDefault="0029199E">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704" w:type="dxa"/>
            <w:tcBorders>
              <w:top w:val="single" w:sz="4" w:space="0" w:color="000000"/>
              <w:left w:val="nil"/>
              <w:bottom w:val="nil"/>
              <w:right w:val="single" w:sz="4" w:space="0" w:color="000000"/>
            </w:tcBorders>
            <w:shd w:val="clear" w:color="auto" w:fill="DDEBF7"/>
            <w:vAlign w:val="center"/>
          </w:tcPr>
          <w:p w:rsidR="000A7E4A" w:rsidRDefault="0029199E">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11</w:t>
            </w:r>
          </w:p>
        </w:tc>
        <w:tc>
          <w:tcPr>
            <w:tcW w:w="704" w:type="dxa"/>
            <w:tcBorders>
              <w:top w:val="single" w:sz="4" w:space="0" w:color="000000"/>
              <w:left w:val="nil"/>
              <w:bottom w:val="nil"/>
              <w:right w:val="single" w:sz="4" w:space="0" w:color="000000"/>
            </w:tcBorders>
            <w:shd w:val="clear" w:color="auto" w:fill="DDEBF7"/>
          </w:tcPr>
          <w:p w:rsidR="000A7E4A" w:rsidRDefault="0029199E">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12</w:t>
            </w:r>
          </w:p>
        </w:tc>
      </w:tr>
      <w:tr w:rsidR="000A7E4A">
        <w:trPr>
          <w:trHeight w:val="940"/>
        </w:trPr>
        <w:tc>
          <w:tcPr>
            <w:tcW w:w="1226" w:type="dxa"/>
            <w:tcBorders>
              <w:top w:val="single" w:sz="8" w:space="0" w:color="000000"/>
              <w:left w:val="single" w:sz="8" w:space="0" w:color="000000"/>
              <w:bottom w:val="single" w:sz="4" w:space="0" w:color="000000"/>
              <w:right w:val="single" w:sz="8" w:space="0" w:color="000000"/>
            </w:tcBorders>
            <w:shd w:val="clear" w:color="auto" w:fill="DDEBF7"/>
            <w:vAlign w:val="center"/>
          </w:tcPr>
          <w:p w:rsidR="000A7E4A" w:rsidRDefault="0029199E">
            <w:pPr>
              <w:spacing w:line="240" w:lineRule="auto"/>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Expected ToC outcome</w:t>
            </w:r>
          </w:p>
        </w:tc>
        <w:tc>
          <w:tcPr>
            <w:tcW w:w="1554" w:type="dxa"/>
            <w:tcBorders>
              <w:top w:val="single" w:sz="8" w:space="0" w:color="000000"/>
              <w:left w:val="nil"/>
              <w:bottom w:val="single" w:sz="4" w:space="0" w:color="000000"/>
              <w:right w:val="single" w:sz="8" w:space="0" w:color="000000"/>
            </w:tcBorders>
            <w:shd w:val="clear" w:color="auto" w:fill="DDEBF7"/>
            <w:vAlign w:val="center"/>
          </w:tcPr>
          <w:p w:rsidR="000A7E4A" w:rsidRDefault="0029199E">
            <w:pPr>
              <w:spacing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Description of target level 2023</w:t>
            </w:r>
          </w:p>
        </w:tc>
        <w:tc>
          <w:tcPr>
            <w:tcW w:w="1413" w:type="dxa"/>
            <w:tcBorders>
              <w:top w:val="single" w:sz="8" w:space="0" w:color="000000"/>
              <w:left w:val="nil"/>
              <w:bottom w:val="single" w:sz="4" w:space="0" w:color="000000"/>
              <w:right w:val="single" w:sz="8" w:space="0" w:color="000000"/>
            </w:tcBorders>
            <w:shd w:val="clear" w:color="auto" w:fill="DDEBF7"/>
            <w:vAlign w:val="center"/>
          </w:tcPr>
          <w:p w:rsidR="000A7E4A" w:rsidRDefault="0029199E">
            <w:pPr>
              <w:spacing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Description of baseline level 2019</w:t>
            </w:r>
          </w:p>
        </w:tc>
        <w:tc>
          <w:tcPr>
            <w:tcW w:w="1412" w:type="dxa"/>
            <w:tcBorders>
              <w:top w:val="single" w:sz="8" w:space="0" w:color="000000"/>
              <w:left w:val="nil"/>
              <w:bottom w:val="single" w:sz="4" w:space="0" w:color="000000"/>
              <w:right w:val="single" w:sz="8" w:space="0" w:color="000000"/>
            </w:tcBorders>
            <w:shd w:val="clear" w:color="auto" w:fill="DDEBF7"/>
            <w:vAlign w:val="center"/>
          </w:tcPr>
          <w:p w:rsidR="000A7E4A" w:rsidRDefault="0029199E">
            <w:pPr>
              <w:spacing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Description of target level 2020</w:t>
            </w:r>
          </w:p>
        </w:tc>
        <w:tc>
          <w:tcPr>
            <w:tcW w:w="1271" w:type="dxa"/>
            <w:tcBorders>
              <w:top w:val="single" w:sz="8" w:space="0" w:color="000000"/>
              <w:left w:val="nil"/>
              <w:bottom w:val="single" w:sz="4" w:space="0" w:color="000000"/>
              <w:right w:val="single" w:sz="8" w:space="0" w:color="000000"/>
            </w:tcBorders>
            <w:shd w:val="clear" w:color="auto" w:fill="DDEBF7"/>
            <w:vAlign w:val="center"/>
          </w:tcPr>
          <w:p w:rsidR="000A7E4A" w:rsidRDefault="0029199E">
            <w:pPr>
              <w:spacing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Targeted actor</w:t>
            </w:r>
          </w:p>
        </w:tc>
        <w:tc>
          <w:tcPr>
            <w:tcW w:w="1980" w:type="dxa"/>
            <w:tcBorders>
              <w:top w:val="single" w:sz="8" w:space="0" w:color="000000"/>
              <w:left w:val="nil"/>
              <w:bottom w:val="single" w:sz="4" w:space="0" w:color="000000"/>
              <w:right w:val="single" w:sz="8" w:space="0" w:color="000000"/>
            </w:tcBorders>
            <w:shd w:val="clear" w:color="auto" w:fill="DDEBF7"/>
            <w:vAlign w:val="center"/>
          </w:tcPr>
          <w:p w:rsidR="000A7E4A" w:rsidRDefault="0029199E">
            <w:pPr>
              <w:spacing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Planned Intervention(s)</w:t>
            </w:r>
          </w:p>
        </w:tc>
        <w:tc>
          <w:tcPr>
            <w:tcW w:w="1129" w:type="dxa"/>
            <w:tcBorders>
              <w:top w:val="single" w:sz="8" w:space="0" w:color="000000"/>
              <w:left w:val="nil"/>
              <w:bottom w:val="single" w:sz="4" w:space="0" w:color="000000"/>
              <w:right w:val="single" w:sz="8" w:space="0" w:color="000000"/>
            </w:tcBorders>
            <w:shd w:val="clear" w:color="auto" w:fill="DDEBF7"/>
            <w:vAlign w:val="center"/>
          </w:tcPr>
          <w:p w:rsidR="000A7E4A" w:rsidRDefault="0029199E">
            <w:pPr>
              <w:spacing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(With) who(m)?</w:t>
            </w:r>
          </w:p>
        </w:tc>
        <w:tc>
          <w:tcPr>
            <w:tcW w:w="1129" w:type="dxa"/>
            <w:tcBorders>
              <w:top w:val="single" w:sz="8" w:space="0" w:color="000000"/>
              <w:left w:val="nil"/>
              <w:bottom w:val="single" w:sz="4" w:space="0" w:color="000000"/>
              <w:right w:val="single" w:sz="8" w:space="0" w:color="000000"/>
            </w:tcBorders>
            <w:shd w:val="clear" w:color="auto" w:fill="DDEBF7"/>
            <w:vAlign w:val="center"/>
          </w:tcPr>
          <w:p w:rsidR="000A7E4A" w:rsidRDefault="0029199E">
            <w:pPr>
              <w:spacing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Gender sensitivity of interventions 2020</w:t>
            </w:r>
          </w:p>
        </w:tc>
        <w:tc>
          <w:tcPr>
            <w:tcW w:w="982" w:type="dxa"/>
            <w:tcBorders>
              <w:top w:val="single" w:sz="8" w:space="0" w:color="000000"/>
              <w:left w:val="nil"/>
              <w:bottom w:val="single" w:sz="4" w:space="0" w:color="000000"/>
              <w:right w:val="single" w:sz="8" w:space="0" w:color="000000"/>
            </w:tcBorders>
            <w:shd w:val="clear" w:color="auto" w:fill="DDEBF7"/>
            <w:vAlign w:val="center"/>
          </w:tcPr>
          <w:p w:rsidR="000A7E4A" w:rsidRDefault="0029199E">
            <w:pPr>
              <w:spacing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Themes and strategic priorities</w:t>
            </w:r>
          </w:p>
        </w:tc>
        <w:tc>
          <w:tcPr>
            <w:tcW w:w="1199" w:type="dxa"/>
            <w:tcBorders>
              <w:top w:val="single" w:sz="8" w:space="0" w:color="000000"/>
              <w:left w:val="nil"/>
              <w:bottom w:val="single" w:sz="4" w:space="0" w:color="000000"/>
              <w:right w:val="single" w:sz="8" w:space="0" w:color="000000"/>
            </w:tcBorders>
            <w:shd w:val="clear" w:color="auto" w:fill="DDEBF7"/>
            <w:vAlign w:val="center"/>
          </w:tcPr>
          <w:p w:rsidR="000A7E4A" w:rsidRDefault="0029199E">
            <w:pPr>
              <w:spacing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Gender sensitivity of interventions</w:t>
            </w:r>
          </w:p>
        </w:tc>
        <w:tc>
          <w:tcPr>
            <w:tcW w:w="704" w:type="dxa"/>
            <w:tcBorders>
              <w:top w:val="single" w:sz="8" w:space="0" w:color="000000"/>
              <w:left w:val="nil"/>
              <w:bottom w:val="nil"/>
              <w:right w:val="nil"/>
            </w:tcBorders>
            <w:shd w:val="clear" w:color="auto" w:fill="DDEBF7"/>
            <w:vAlign w:val="center"/>
          </w:tcPr>
          <w:p w:rsidR="000A7E4A" w:rsidRDefault="0029199E">
            <w:pPr>
              <w:spacing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Year</w:t>
            </w:r>
          </w:p>
        </w:tc>
        <w:tc>
          <w:tcPr>
            <w:tcW w:w="704" w:type="dxa"/>
            <w:tcBorders>
              <w:top w:val="single" w:sz="8" w:space="0" w:color="000000"/>
              <w:left w:val="nil"/>
              <w:bottom w:val="single" w:sz="4" w:space="0" w:color="000000"/>
              <w:right w:val="nil"/>
            </w:tcBorders>
            <w:shd w:val="clear" w:color="auto" w:fill="DDEBF7"/>
          </w:tcPr>
          <w:p w:rsidR="000A7E4A" w:rsidRDefault="0029199E">
            <w:pPr>
              <w:spacing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Pathway</w:t>
            </w:r>
          </w:p>
        </w:tc>
      </w:tr>
      <w:tr w:rsidR="000A7E4A">
        <w:trPr>
          <w:trHeight w:val="780"/>
        </w:trPr>
        <w:tc>
          <w:tcPr>
            <w:tcW w:w="1226" w:type="dxa"/>
            <w:vMerge w:val="restart"/>
            <w:tcBorders>
              <w:top w:val="nil"/>
              <w:left w:val="single" w:sz="8" w:space="0" w:color="000000"/>
              <w:bottom w:val="single" w:sz="4" w:space="0" w:color="000000"/>
              <w:right w:val="single" w:sz="8" w:space="0" w:color="000000"/>
            </w:tcBorders>
            <w:shd w:val="clear" w:color="auto" w:fill="auto"/>
            <w:vAlign w:val="center"/>
          </w:tcPr>
          <w:p w:rsidR="000A7E4A" w:rsidRDefault="0029199E">
            <w:pPr>
              <w:spacing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1. </w:t>
            </w:r>
            <w:r>
              <w:rPr>
                <w:rFonts w:ascii="Times New Roman" w:eastAsia="Times New Roman" w:hAnsi="Times New Roman" w:cs="Times New Roman"/>
                <w:b/>
                <w:color w:val="000000"/>
                <w:sz w:val="20"/>
                <w:szCs w:val="20"/>
              </w:rPr>
              <w:t>The Ministry of Environment and Water recognizes the importance of community forest management for achieving the NDCs</w:t>
            </w:r>
          </w:p>
        </w:tc>
        <w:tc>
          <w:tcPr>
            <w:tcW w:w="1554" w:type="dxa"/>
            <w:vMerge w:val="restart"/>
            <w:tcBorders>
              <w:top w:val="nil"/>
              <w:left w:val="single" w:sz="8" w:space="0" w:color="000000"/>
              <w:bottom w:val="single" w:sz="4" w:space="0" w:color="000000"/>
              <w:right w:val="single" w:sz="8" w:space="0" w:color="000000"/>
            </w:tcBorders>
            <w:shd w:val="clear" w:color="auto" w:fill="auto"/>
            <w:vAlign w:val="center"/>
          </w:tcPr>
          <w:p w:rsidR="000A7E4A" w:rsidRDefault="0029199E">
            <w:pPr>
              <w:spacing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1.1. The Viceministry of the Environment approves policies regarding the importance of Guarayos community forest management for achieving the NDCs</w:t>
            </w:r>
          </w:p>
        </w:tc>
        <w:tc>
          <w:tcPr>
            <w:tcW w:w="1413" w:type="dxa"/>
            <w:vMerge w:val="restart"/>
            <w:tcBorders>
              <w:top w:val="nil"/>
              <w:left w:val="single" w:sz="8" w:space="0" w:color="000000"/>
              <w:bottom w:val="single" w:sz="4" w:space="0" w:color="000000"/>
              <w:right w:val="single" w:sz="8" w:space="0" w:color="000000"/>
            </w:tcBorders>
            <w:shd w:val="clear" w:color="auto" w:fill="auto"/>
            <w:vAlign w:val="center"/>
          </w:tcPr>
          <w:p w:rsidR="000A7E4A" w:rsidRDefault="0029199E">
            <w:pPr>
              <w:spacing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1.4. The Viceministry of the Environment has increased awareness and receptiveness regarding the importance of Guarayos community forest management for achieving the NDCs</w:t>
            </w:r>
          </w:p>
        </w:tc>
        <w:tc>
          <w:tcPr>
            <w:tcW w:w="1412" w:type="dxa"/>
            <w:vMerge w:val="restart"/>
            <w:tcBorders>
              <w:top w:val="nil"/>
              <w:left w:val="single" w:sz="8" w:space="0" w:color="000000"/>
              <w:bottom w:val="single" w:sz="4" w:space="0" w:color="000000"/>
              <w:right w:val="single" w:sz="8" w:space="0" w:color="000000"/>
            </w:tcBorders>
            <w:shd w:val="clear" w:color="auto" w:fill="auto"/>
            <w:vAlign w:val="center"/>
          </w:tcPr>
          <w:p w:rsidR="000A7E4A" w:rsidRDefault="0029199E">
            <w:pPr>
              <w:spacing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1.4. The Viceministry of the Environment has increased awareness and receptiveness regarding the importance of Guarayos community forest management for achieving the NDCs</w:t>
            </w:r>
          </w:p>
        </w:tc>
        <w:tc>
          <w:tcPr>
            <w:tcW w:w="1271" w:type="dxa"/>
            <w:vMerge w:val="restart"/>
            <w:tcBorders>
              <w:top w:val="nil"/>
              <w:left w:val="single" w:sz="8" w:space="0" w:color="000000"/>
              <w:bottom w:val="single" w:sz="4" w:space="0" w:color="000000"/>
              <w:right w:val="single" w:sz="8" w:space="0" w:color="000000"/>
            </w:tcBorders>
            <w:shd w:val="clear" w:color="auto" w:fill="auto"/>
            <w:vAlign w:val="center"/>
          </w:tcPr>
          <w:p w:rsidR="000A7E4A" w:rsidRDefault="0029199E">
            <w:pPr>
              <w:spacing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Viceministry of the Environment</w:t>
            </w:r>
          </w:p>
        </w:tc>
        <w:tc>
          <w:tcPr>
            <w:tcW w:w="1980" w:type="dxa"/>
            <w:tcBorders>
              <w:top w:val="nil"/>
              <w:left w:val="single" w:sz="4" w:space="0" w:color="000000"/>
              <w:bottom w:val="single" w:sz="4" w:space="0" w:color="000000"/>
              <w:right w:val="single" w:sz="4" w:space="0" w:color="000000"/>
            </w:tcBorders>
            <w:shd w:val="clear" w:color="auto" w:fill="auto"/>
            <w:vAlign w:val="center"/>
          </w:tcPr>
          <w:p w:rsidR="000A7E4A" w:rsidRPr="00750F3B" w:rsidRDefault="0029199E">
            <w:pPr>
              <w:spacing w:line="240" w:lineRule="auto"/>
              <w:rPr>
                <w:rFonts w:ascii="Times New Roman" w:eastAsia="Times New Roman" w:hAnsi="Times New Roman" w:cs="Times New Roman"/>
                <w:color w:val="000000"/>
                <w:sz w:val="20"/>
                <w:szCs w:val="20"/>
                <w:highlight w:val="yellow"/>
              </w:rPr>
            </w:pPr>
            <w:r w:rsidRPr="00750F3B">
              <w:rPr>
                <w:rFonts w:ascii="Times New Roman" w:eastAsia="Times New Roman" w:hAnsi="Times New Roman" w:cs="Times New Roman"/>
                <w:color w:val="000000"/>
                <w:sz w:val="20"/>
                <w:szCs w:val="20"/>
                <w:highlight w:val="yellow"/>
              </w:rPr>
              <w:t xml:space="preserve">1.a. An assessment of compliance with the country's NDCs in the forestry section </w:t>
            </w:r>
            <w:r w:rsidRPr="00750F3B">
              <w:rPr>
                <w:rFonts w:ascii="Times New Roman" w:eastAsia="Times New Roman" w:hAnsi="Times New Roman" w:cs="Times New Roman"/>
                <w:sz w:val="20"/>
                <w:szCs w:val="20"/>
                <w:highlight w:val="yellow"/>
              </w:rPr>
              <w:t>highlights importance of indigenous and peasant communities</w:t>
            </w:r>
            <w:r w:rsidRPr="00750F3B">
              <w:rPr>
                <w:rFonts w:ascii="Times New Roman" w:eastAsia="Times New Roman" w:hAnsi="Times New Roman" w:cs="Times New Roman"/>
                <w:color w:val="000000"/>
                <w:sz w:val="20"/>
                <w:szCs w:val="20"/>
                <w:highlight w:val="yellow"/>
              </w:rPr>
              <w:t>.</w:t>
            </w:r>
          </w:p>
        </w:tc>
        <w:tc>
          <w:tcPr>
            <w:tcW w:w="1129" w:type="dxa"/>
            <w:tcBorders>
              <w:top w:val="nil"/>
              <w:left w:val="single" w:sz="8" w:space="0" w:color="000000"/>
              <w:bottom w:val="single" w:sz="4" w:space="0" w:color="000000"/>
              <w:right w:val="single" w:sz="8" w:space="0" w:color="000000"/>
            </w:tcBorders>
            <w:shd w:val="clear" w:color="auto" w:fill="auto"/>
            <w:vAlign w:val="center"/>
          </w:tcPr>
          <w:p w:rsidR="000A7E4A" w:rsidRDefault="0029199E">
            <w:pPr>
              <w:spacing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Viceministry</w:t>
            </w:r>
          </w:p>
        </w:tc>
        <w:tc>
          <w:tcPr>
            <w:tcW w:w="1129" w:type="dxa"/>
            <w:vMerge w:val="restart"/>
            <w:tcBorders>
              <w:top w:val="nil"/>
              <w:left w:val="single" w:sz="8" w:space="0" w:color="000000"/>
              <w:bottom w:val="single" w:sz="4" w:space="0" w:color="000000"/>
              <w:right w:val="single" w:sz="8" w:space="0" w:color="000000"/>
            </w:tcBorders>
            <w:vAlign w:val="center"/>
          </w:tcPr>
          <w:p w:rsidR="000A7E4A" w:rsidRDefault="000A7E4A">
            <w:pPr>
              <w:spacing w:line="240" w:lineRule="auto"/>
              <w:rPr>
                <w:rFonts w:ascii="Times New Roman" w:eastAsia="Times New Roman" w:hAnsi="Times New Roman" w:cs="Times New Roman"/>
                <w:sz w:val="20"/>
                <w:szCs w:val="20"/>
              </w:rPr>
            </w:pPr>
          </w:p>
          <w:p w:rsidR="000A7E4A" w:rsidRDefault="0029199E">
            <w:pPr>
              <w:spacing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Ensure mea</w:t>
            </w:r>
            <w:r>
              <w:rPr>
                <w:rFonts w:ascii="Times New Roman" w:eastAsia="Times New Roman" w:hAnsi="Times New Roman" w:cs="Times New Roman"/>
                <w:sz w:val="20"/>
                <w:szCs w:val="20"/>
              </w:rPr>
              <w:t>ningful participation of Guarayo men, women, and youth in socializing report to the Viceministry.</w:t>
            </w:r>
          </w:p>
        </w:tc>
        <w:tc>
          <w:tcPr>
            <w:tcW w:w="982" w:type="dxa"/>
            <w:vMerge w:val="restart"/>
            <w:tcBorders>
              <w:top w:val="nil"/>
              <w:left w:val="single" w:sz="8" w:space="0" w:color="000000"/>
              <w:bottom w:val="single" w:sz="4" w:space="0" w:color="000000"/>
              <w:right w:val="single" w:sz="8" w:space="0" w:color="000000"/>
            </w:tcBorders>
            <w:shd w:val="clear" w:color="auto" w:fill="auto"/>
            <w:vAlign w:val="center"/>
          </w:tcPr>
          <w:p w:rsidR="000A7E4A" w:rsidRDefault="0029199E">
            <w:pPr>
              <w:spacing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NDCs</w:t>
            </w:r>
          </w:p>
        </w:tc>
        <w:tc>
          <w:tcPr>
            <w:tcW w:w="1199" w:type="dxa"/>
            <w:vMerge w:val="restart"/>
            <w:tcBorders>
              <w:top w:val="nil"/>
              <w:left w:val="single" w:sz="8" w:space="0" w:color="000000"/>
              <w:bottom w:val="single" w:sz="4" w:space="0" w:color="000000"/>
              <w:right w:val="single" w:sz="8" w:space="0" w:color="000000"/>
            </w:tcBorders>
            <w:shd w:val="clear" w:color="auto" w:fill="FFFF00"/>
            <w:vAlign w:val="center"/>
          </w:tcPr>
          <w:p w:rsidR="000A7E4A" w:rsidRDefault="0029199E">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Gender Sensitive</w:t>
            </w:r>
          </w:p>
        </w:tc>
        <w:tc>
          <w:tcPr>
            <w:tcW w:w="704" w:type="dxa"/>
            <w:tcBorders>
              <w:top w:val="single" w:sz="4" w:space="0" w:color="000000"/>
              <w:left w:val="nil"/>
              <w:bottom w:val="single" w:sz="4" w:space="0" w:color="000000"/>
              <w:right w:val="single" w:sz="4" w:space="0" w:color="000000"/>
            </w:tcBorders>
            <w:shd w:val="clear" w:color="auto" w:fill="auto"/>
            <w:vAlign w:val="center"/>
          </w:tcPr>
          <w:p w:rsidR="000A7E4A" w:rsidRDefault="0029199E">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2019</w:t>
            </w:r>
          </w:p>
        </w:tc>
        <w:tc>
          <w:tcPr>
            <w:tcW w:w="704" w:type="dxa"/>
            <w:tcBorders>
              <w:top w:val="single" w:sz="4" w:space="0" w:color="000000"/>
              <w:left w:val="single" w:sz="4" w:space="0" w:color="000000"/>
              <w:bottom w:val="single" w:sz="4" w:space="0" w:color="000000"/>
              <w:right w:val="single" w:sz="4" w:space="0" w:color="000000"/>
            </w:tcBorders>
          </w:tcPr>
          <w:p w:rsidR="000A7E4A" w:rsidRDefault="0029199E">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r>
      <w:tr w:rsidR="000A7E4A">
        <w:trPr>
          <w:trHeight w:val="1200"/>
        </w:trPr>
        <w:tc>
          <w:tcPr>
            <w:tcW w:w="1226" w:type="dxa"/>
            <w:vMerge/>
            <w:tcBorders>
              <w:top w:val="nil"/>
              <w:left w:val="single" w:sz="8" w:space="0" w:color="000000"/>
              <w:bottom w:val="single" w:sz="4" w:space="0" w:color="000000"/>
              <w:right w:val="single" w:sz="8" w:space="0" w:color="000000"/>
            </w:tcBorders>
            <w:shd w:val="clear" w:color="auto" w:fill="auto"/>
            <w:vAlign w:val="center"/>
          </w:tcPr>
          <w:p w:rsidR="000A7E4A" w:rsidRDefault="000A7E4A">
            <w:pPr>
              <w:widowControl w:val="0"/>
              <w:pBdr>
                <w:top w:val="nil"/>
                <w:left w:val="nil"/>
                <w:bottom w:val="nil"/>
                <w:right w:val="nil"/>
                <w:between w:val="nil"/>
              </w:pBdr>
              <w:spacing w:line="276" w:lineRule="auto"/>
              <w:rPr>
                <w:rFonts w:ascii="Times New Roman" w:eastAsia="Times New Roman" w:hAnsi="Times New Roman" w:cs="Times New Roman"/>
                <w:color w:val="000000"/>
                <w:sz w:val="20"/>
                <w:szCs w:val="20"/>
              </w:rPr>
            </w:pPr>
          </w:p>
        </w:tc>
        <w:tc>
          <w:tcPr>
            <w:tcW w:w="1554" w:type="dxa"/>
            <w:vMerge/>
            <w:tcBorders>
              <w:top w:val="nil"/>
              <w:left w:val="single" w:sz="8" w:space="0" w:color="000000"/>
              <w:bottom w:val="single" w:sz="4" w:space="0" w:color="000000"/>
              <w:right w:val="single" w:sz="8" w:space="0" w:color="000000"/>
            </w:tcBorders>
            <w:shd w:val="clear" w:color="auto" w:fill="auto"/>
            <w:vAlign w:val="center"/>
          </w:tcPr>
          <w:p w:rsidR="000A7E4A" w:rsidRDefault="000A7E4A">
            <w:pPr>
              <w:widowControl w:val="0"/>
              <w:pBdr>
                <w:top w:val="nil"/>
                <w:left w:val="nil"/>
                <w:bottom w:val="nil"/>
                <w:right w:val="nil"/>
                <w:between w:val="nil"/>
              </w:pBdr>
              <w:spacing w:line="276" w:lineRule="auto"/>
              <w:rPr>
                <w:rFonts w:ascii="Times New Roman" w:eastAsia="Times New Roman" w:hAnsi="Times New Roman" w:cs="Times New Roman"/>
                <w:color w:val="000000"/>
                <w:sz w:val="20"/>
                <w:szCs w:val="20"/>
              </w:rPr>
            </w:pPr>
          </w:p>
        </w:tc>
        <w:tc>
          <w:tcPr>
            <w:tcW w:w="1413" w:type="dxa"/>
            <w:vMerge/>
            <w:tcBorders>
              <w:top w:val="nil"/>
              <w:left w:val="single" w:sz="8" w:space="0" w:color="000000"/>
              <w:bottom w:val="single" w:sz="4" w:space="0" w:color="000000"/>
              <w:right w:val="single" w:sz="8" w:space="0" w:color="000000"/>
            </w:tcBorders>
            <w:shd w:val="clear" w:color="auto" w:fill="auto"/>
            <w:vAlign w:val="center"/>
          </w:tcPr>
          <w:p w:rsidR="000A7E4A" w:rsidRDefault="000A7E4A">
            <w:pPr>
              <w:widowControl w:val="0"/>
              <w:pBdr>
                <w:top w:val="nil"/>
                <w:left w:val="nil"/>
                <w:bottom w:val="nil"/>
                <w:right w:val="nil"/>
                <w:between w:val="nil"/>
              </w:pBdr>
              <w:spacing w:line="276" w:lineRule="auto"/>
              <w:rPr>
                <w:rFonts w:ascii="Times New Roman" w:eastAsia="Times New Roman" w:hAnsi="Times New Roman" w:cs="Times New Roman"/>
                <w:color w:val="000000"/>
                <w:sz w:val="20"/>
                <w:szCs w:val="20"/>
              </w:rPr>
            </w:pPr>
          </w:p>
        </w:tc>
        <w:tc>
          <w:tcPr>
            <w:tcW w:w="1412" w:type="dxa"/>
            <w:vMerge/>
            <w:tcBorders>
              <w:top w:val="nil"/>
              <w:left w:val="single" w:sz="8" w:space="0" w:color="000000"/>
              <w:bottom w:val="single" w:sz="4" w:space="0" w:color="000000"/>
              <w:right w:val="single" w:sz="8" w:space="0" w:color="000000"/>
            </w:tcBorders>
            <w:shd w:val="clear" w:color="auto" w:fill="auto"/>
            <w:vAlign w:val="center"/>
          </w:tcPr>
          <w:p w:rsidR="000A7E4A" w:rsidRDefault="000A7E4A">
            <w:pPr>
              <w:widowControl w:val="0"/>
              <w:pBdr>
                <w:top w:val="nil"/>
                <w:left w:val="nil"/>
                <w:bottom w:val="nil"/>
                <w:right w:val="nil"/>
                <w:between w:val="nil"/>
              </w:pBdr>
              <w:spacing w:line="276" w:lineRule="auto"/>
              <w:rPr>
                <w:rFonts w:ascii="Times New Roman" w:eastAsia="Times New Roman" w:hAnsi="Times New Roman" w:cs="Times New Roman"/>
                <w:color w:val="000000"/>
                <w:sz w:val="20"/>
                <w:szCs w:val="20"/>
              </w:rPr>
            </w:pPr>
          </w:p>
        </w:tc>
        <w:tc>
          <w:tcPr>
            <w:tcW w:w="1271" w:type="dxa"/>
            <w:vMerge/>
            <w:tcBorders>
              <w:top w:val="nil"/>
              <w:left w:val="single" w:sz="8" w:space="0" w:color="000000"/>
              <w:bottom w:val="single" w:sz="4" w:space="0" w:color="000000"/>
              <w:right w:val="single" w:sz="8" w:space="0" w:color="000000"/>
            </w:tcBorders>
            <w:shd w:val="clear" w:color="auto" w:fill="auto"/>
            <w:vAlign w:val="center"/>
          </w:tcPr>
          <w:p w:rsidR="000A7E4A" w:rsidRDefault="000A7E4A">
            <w:pPr>
              <w:widowControl w:val="0"/>
              <w:pBdr>
                <w:top w:val="nil"/>
                <w:left w:val="nil"/>
                <w:bottom w:val="nil"/>
                <w:right w:val="nil"/>
                <w:between w:val="nil"/>
              </w:pBdr>
              <w:spacing w:line="276" w:lineRule="auto"/>
              <w:rPr>
                <w:rFonts w:ascii="Times New Roman" w:eastAsia="Times New Roman" w:hAnsi="Times New Roman" w:cs="Times New Roman"/>
                <w:color w:val="000000"/>
                <w:sz w:val="20"/>
                <w:szCs w:val="20"/>
              </w:rPr>
            </w:pPr>
          </w:p>
        </w:tc>
        <w:tc>
          <w:tcPr>
            <w:tcW w:w="1980" w:type="dxa"/>
            <w:tcBorders>
              <w:top w:val="nil"/>
              <w:left w:val="single" w:sz="4" w:space="0" w:color="000000"/>
              <w:bottom w:val="single" w:sz="4" w:space="0" w:color="000000"/>
              <w:right w:val="single" w:sz="4" w:space="0" w:color="000000"/>
            </w:tcBorders>
            <w:shd w:val="clear" w:color="auto" w:fill="auto"/>
            <w:vAlign w:val="center"/>
          </w:tcPr>
          <w:p w:rsidR="000A7E4A" w:rsidRDefault="0029199E">
            <w:pPr>
              <w:spacing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1.b. Report</w:t>
            </w:r>
            <w:r>
              <w:rPr>
                <w:rFonts w:ascii="Times New Roman" w:eastAsia="Times New Roman" w:hAnsi="Times New Roman" w:cs="Times New Roman"/>
                <w:sz w:val="20"/>
                <w:szCs w:val="20"/>
              </w:rPr>
              <w:t xml:space="preserve"> highlights </w:t>
            </w:r>
            <w:r>
              <w:rPr>
                <w:rFonts w:ascii="Times New Roman" w:eastAsia="Times New Roman" w:hAnsi="Times New Roman" w:cs="Times New Roman"/>
                <w:color w:val="000000"/>
                <w:sz w:val="20"/>
                <w:szCs w:val="20"/>
              </w:rPr>
              <w:t>the contribution of the Guarayos indigenous territory to the country´s NDCs and mitigation and adaptation to climate change.</w:t>
            </w:r>
          </w:p>
        </w:tc>
        <w:tc>
          <w:tcPr>
            <w:tcW w:w="1129" w:type="dxa"/>
            <w:tcBorders>
              <w:top w:val="nil"/>
              <w:left w:val="single" w:sz="8" w:space="0" w:color="000000"/>
              <w:bottom w:val="single" w:sz="4" w:space="0" w:color="000000"/>
              <w:right w:val="single" w:sz="8" w:space="0" w:color="000000"/>
            </w:tcBorders>
            <w:shd w:val="clear" w:color="auto" w:fill="auto"/>
            <w:vAlign w:val="center"/>
          </w:tcPr>
          <w:p w:rsidR="000A7E4A" w:rsidRDefault="0029199E">
            <w:pPr>
              <w:spacing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Viceministry</w:t>
            </w:r>
          </w:p>
        </w:tc>
        <w:tc>
          <w:tcPr>
            <w:tcW w:w="1129" w:type="dxa"/>
            <w:vMerge/>
            <w:tcBorders>
              <w:top w:val="nil"/>
              <w:left w:val="single" w:sz="8" w:space="0" w:color="000000"/>
              <w:bottom w:val="single" w:sz="4" w:space="0" w:color="000000"/>
              <w:right w:val="single" w:sz="8" w:space="0" w:color="000000"/>
            </w:tcBorders>
            <w:vAlign w:val="center"/>
          </w:tcPr>
          <w:p w:rsidR="000A7E4A" w:rsidRDefault="000A7E4A">
            <w:pPr>
              <w:widowControl w:val="0"/>
              <w:pBdr>
                <w:top w:val="nil"/>
                <w:left w:val="nil"/>
                <w:bottom w:val="nil"/>
                <w:right w:val="nil"/>
                <w:between w:val="nil"/>
              </w:pBdr>
              <w:spacing w:line="276" w:lineRule="auto"/>
              <w:rPr>
                <w:rFonts w:ascii="Times New Roman" w:eastAsia="Times New Roman" w:hAnsi="Times New Roman" w:cs="Times New Roman"/>
                <w:color w:val="000000"/>
                <w:sz w:val="20"/>
                <w:szCs w:val="20"/>
              </w:rPr>
            </w:pPr>
          </w:p>
        </w:tc>
        <w:tc>
          <w:tcPr>
            <w:tcW w:w="982" w:type="dxa"/>
            <w:vMerge/>
            <w:tcBorders>
              <w:top w:val="nil"/>
              <w:left w:val="single" w:sz="8" w:space="0" w:color="000000"/>
              <w:bottom w:val="single" w:sz="4" w:space="0" w:color="000000"/>
              <w:right w:val="single" w:sz="8" w:space="0" w:color="000000"/>
            </w:tcBorders>
            <w:shd w:val="clear" w:color="auto" w:fill="auto"/>
            <w:vAlign w:val="center"/>
          </w:tcPr>
          <w:p w:rsidR="000A7E4A" w:rsidRDefault="000A7E4A">
            <w:pPr>
              <w:widowControl w:val="0"/>
              <w:pBdr>
                <w:top w:val="nil"/>
                <w:left w:val="nil"/>
                <w:bottom w:val="nil"/>
                <w:right w:val="nil"/>
                <w:between w:val="nil"/>
              </w:pBdr>
              <w:spacing w:line="276" w:lineRule="auto"/>
              <w:rPr>
                <w:rFonts w:ascii="Times New Roman" w:eastAsia="Times New Roman" w:hAnsi="Times New Roman" w:cs="Times New Roman"/>
                <w:color w:val="000000"/>
                <w:sz w:val="20"/>
                <w:szCs w:val="20"/>
              </w:rPr>
            </w:pPr>
          </w:p>
        </w:tc>
        <w:tc>
          <w:tcPr>
            <w:tcW w:w="1199" w:type="dxa"/>
            <w:vMerge/>
            <w:tcBorders>
              <w:top w:val="nil"/>
              <w:left w:val="single" w:sz="8" w:space="0" w:color="000000"/>
              <w:bottom w:val="single" w:sz="4" w:space="0" w:color="000000"/>
              <w:right w:val="single" w:sz="8" w:space="0" w:color="000000"/>
            </w:tcBorders>
            <w:shd w:val="clear" w:color="auto" w:fill="FFFF00"/>
            <w:vAlign w:val="center"/>
          </w:tcPr>
          <w:p w:rsidR="000A7E4A" w:rsidRDefault="000A7E4A">
            <w:pPr>
              <w:widowControl w:val="0"/>
              <w:pBdr>
                <w:top w:val="nil"/>
                <w:left w:val="nil"/>
                <w:bottom w:val="nil"/>
                <w:right w:val="nil"/>
                <w:between w:val="nil"/>
              </w:pBdr>
              <w:spacing w:line="276" w:lineRule="auto"/>
              <w:rPr>
                <w:rFonts w:ascii="Times New Roman" w:eastAsia="Times New Roman" w:hAnsi="Times New Roman" w:cs="Times New Roman"/>
                <w:color w:val="000000"/>
                <w:sz w:val="20"/>
                <w:szCs w:val="20"/>
              </w:rPr>
            </w:pPr>
          </w:p>
        </w:tc>
        <w:tc>
          <w:tcPr>
            <w:tcW w:w="704" w:type="dxa"/>
            <w:tcBorders>
              <w:top w:val="nil"/>
              <w:left w:val="nil"/>
              <w:bottom w:val="single" w:sz="4" w:space="0" w:color="000000"/>
              <w:right w:val="single" w:sz="4" w:space="0" w:color="000000"/>
            </w:tcBorders>
            <w:shd w:val="clear" w:color="auto" w:fill="auto"/>
            <w:vAlign w:val="center"/>
          </w:tcPr>
          <w:p w:rsidR="000A7E4A" w:rsidRDefault="0029199E">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2020</w:t>
            </w:r>
          </w:p>
        </w:tc>
        <w:tc>
          <w:tcPr>
            <w:tcW w:w="704" w:type="dxa"/>
            <w:tcBorders>
              <w:top w:val="single" w:sz="4" w:space="0" w:color="000000"/>
              <w:left w:val="single" w:sz="4" w:space="0" w:color="000000"/>
              <w:bottom w:val="single" w:sz="4" w:space="0" w:color="000000"/>
              <w:right w:val="single" w:sz="4" w:space="0" w:color="000000"/>
            </w:tcBorders>
          </w:tcPr>
          <w:p w:rsidR="000A7E4A" w:rsidRDefault="0029199E">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r>
      <w:tr w:rsidR="000A7E4A">
        <w:trPr>
          <w:trHeight w:val="1680"/>
        </w:trPr>
        <w:tc>
          <w:tcPr>
            <w:tcW w:w="1226" w:type="dxa"/>
            <w:vMerge/>
            <w:tcBorders>
              <w:top w:val="nil"/>
              <w:left w:val="single" w:sz="8" w:space="0" w:color="000000"/>
              <w:bottom w:val="single" w:sz="4" w:space="0" w:color="000000"/>
              <w:right w:val="single" w:sz="8" w:space="0" w:color="000000"/>
            </w:tcBorders>
            <w:shd w:val="clear" w:color="auto" w:fill="auto"/>
            <w:vAlign w:val="center"/>
          </w:tcPr>
          <w:p w:rsidR="000A7E4A" w:rsidRDefault="000A7E4A">
            <w:pPr>
              <w:widowControl w:val="0"/>
              <w:pBdr>
                <w:top w:val="nil"/>
                <w:left w:val="nil"/>
                <w:bottom w:val="nil"/>
                <w:right w:val="nil"/>
                <w:between w:val="nil"/>
              </w:pBdr>
              <w:spacing w:line="276" w:lineRule="auto"/>
              <w:rPr>
                <w:rFonts w:ascii="Times New Roman" w:eastAsia="Times New Roman" w:hAnsi="Times New Roman" w:cs="Times New Roman"/>
                <w:color w:val="000000"/>
                <w:sz w:val="20"/>
                <w:szCs w:val="20"/>
              </w:rPr>
            </w:pPr>
          </w:p>
        </w:tc>
        <w:tc>
          <w:tcPr>
            <w:tcW w:w="1554" w:type="dxa"/>
            <w:vMerge/>
            <w:tcBorders>
              <w:top w:val="nil"/>
              <w:left w:val="single" w:sz="8" w:space="0" w:color="000000"/>
              <w:bottom w:val="single" w:sz="4" w:space="0" w:color="000000"/>
              <w:right w:val="single" w:sz="8" w:space="0" w:color="000000"/>
            </w:tcBorders>
            <w:shd w:val="clear" w:color="auto" w:fill="auto"/>
            <w:vAlign w:val="center"/>
          </w:tcPr>
          <w:p w:rsidR="000A7E4A" w:rsidRDefault="000A7E4A">
            <w:pPr>
              <w:widowControl w:val="0"/>
              <w:pBdr>
                <w:top w:val="nil"/>
                <w:left w:val="nil"/>
                <w:bottom w:val="nil"/>
                <w:right w:val="nil"/>
                <w:between w:val="nil"/>
              </w:pBdr>
              <w:spacing w:line="276" w:lineRule="auto"/>
              <w:rPr>
                <w:rFonts w:ascii="Times New Roman" w:eastAsia="Times New Roman" w:hAnsi="Times New Roman" w:cs="Times New Roman"/>
                <w:color w:val="000000"/>
                <w:sz w:val="20"/>
                <w:szCs w:val="20"/>
              </w:rPr>
            </w:pPr>
          </w:p>
        </w:tc>
        <w:tc>
          <w:tcPr>
            <w:tcW w:w="1413" w:type="dxa"/>
            <w:vMerge/>
            <w:tcBorders>
              <w:top w:val="nil"/>
              <w:left w:val="single" w:sz="8" w:space="0" w:color="000000"/>
              <w:bottom w:val="single" w:sz="4" w:space="0" w:color="000000"/>
              <w:right w:val="single" w:sz="8" w:space="0" w:color="000000"/>
            </w:tcBorders>
            <w:shd w:val="clear" w:color="auto" w:fill="auto"/>
            <w:vAlign w:val="center"/>
          </w:tcPr>
          <w:p w:rsidR="000A7E4A" w:rsidRDefault="000A7E4A">
            <w:pPr>
              <w:widowControl w:val="0"/>
              <w:pBdr>
                <w:top w:val="nil"/>
                <w:left w:val="nil"/>
                <w:bottom w:val="nil"/>
                <w:right w:val="nil"/>
                <w:between w:val="nil"/>
              </w:pBdr>
              <w:spacing w:line="276" w:lineRule="auto"/>
              <w:rPr>
                <w:rFonts w:ascii="Times New Roman" w:eastAsia="Times New Roman" w:hAnsi="Times New Roman" w:cs="Times New Roman"/>
                <w:color w:val="000000"/>
                <w:sz w:val="20"/>
                <w:szCs w:val="20"/>
              </w:rPr>
            </w:pPr>
          </w:p>
        </w:tc>
        <w:tc>
          <w:tcPr>
            <w:tcW w:w="1412" w:type="dxa"/>
            <w:vMerge/>
            <w:tcBorders>
              <w:top w:val="nil"/>
              <w:left w:val="single" w:sz="8" w:space="0" w:color="000000"/>
              <w:bottom w:val="single" w:sz="4" w:space="0" w:color="000000"/>
              <w:right w:val="single" w:sz="8" w:space="0" w:color="000000"/>
            </w:tcBorders>
            <w:shd w:val="clear" w:color="auto" w:fill="auto"/>
            <w:vAlign w:val="center"/>
          </w:tcPr>
          <w:p w:rsidR="000A7E4A" w:rsidRDefault="000A7E4A">
            <w:pPr>
              <w:widowControl w:val="0"/>
              <w:pBdr>
                <w:top w:val="nil"/>
                <w:left w:val="nil"/>
                <w:bottom w:val="nil"/>
                <w:right w:val="nil"/>
                <w:between w:val="nil"/>
              </w:pBdr>
              <w:spacing w:line="276" w:lineRule="auto"/>
              <w:rPr>
                <w:rFonts w:ascii="Times New Roman" w:eastAsia="Times New Roman" w:hAnsi="Times New Roman" w:cs="Times New Roman"/>
                <w:color w:val="000000"/>
                <w:sz w:val="20"/>
                <w:szCs w:val="20"/>
              </w:rPr>
            </w:pPr>
          </w:p>
        </w:tc>
        <w:tc>
          <w:tcPr>
            <w:tcW w:w="1271" w:type="dxa"/>
            <w:vMerge/>
            <w:tcBorders>
              <w:top w:val="nil"/>
              <w:left w:val="single" w:sz="8" w:space="0" w:color="000000"/>
              <w:bottom w:val="single" w:sz="4" w:space="0" w:color="000000"/>
              <w:right w:val="single" w:sz="8" w:space="0" w:color="000000"/>
            </w:tcBorders>
            <w:shd w:val="clear" w:color="auto" w:fill="auto"/>
            <w:vAlign w:val="center"/>
          </w:tcPr>
          <w:p w:rsidR="000A7E4A" w:rsidRDefault="000A7E4A">
            <w:pPr>
              <w:widowControl w:val="0"/>
              <w:pBdr>
                <w:top w:val="nil"/>
                <w:left w:val="nil"/>
                <w:bottom w:val="nil"/>
                <w:right w:val="nil"/>
                <w:between w:val="nil"/>
              </w:pBdr>
              <w:spacing w:line="276" w:lineRule="auto"/>
              <w:rPr>
                <w:rFonts w:ascii="Times New Roman" w:eastAsia="Times New Roman" w:hAnsi="Times New Roman" w:cs="Times New Roman"/>
                <w:color w:val="000000"/>
                <w:sz w:val="20"/>
                <w:szCs w:val="20"/>
              </w:rPr>
            </w:pPr>
          </w:p>
        </w:tc>
        <w:tc>
          <w:tcPr>
            <w:tcW w:w="1980" w:type="dxa"/>
            <w:tcBorders>
              <w:top w:val="nil"/>
              <w:left w:val="single" w:sz="4" w:space="0" w:color="000000"/>
              <w:bottom w:val="single" w:sz="4" w:space="0" w:color="000000"/>
              <w:right w:val="single" w:sz="4" w:space="0" w:color="000000"/>
            </w:tcBorders>
            <w:shd w:val="clear" w:color="auto" w:fill="auto"/>
            <w:vAlign w:val="center"/>
          </w:tcPr>
          <w:p w:rsidR="000A7E4A" w:rsidRDefault="000A7E4A">
            <w:pPr>
              <w:spacing w:line="240" w:lineRule="auto"/>
              <w:rPr>
                <w:rFonts w:ascii="Times New Roman" w:eastAsia="Times New Roman" w:hAnsi="Times New Roman" w:cs="Times New Roman"/>
                <w:color w:val="000000"/>
                <w:sz w:val="20"/>
                <w:szCs w:val="20"/>
              </w:rPr>
            </w:pPr>
          </w:p>
        </w:tc>
        <w:tc>
          <w:tcPr>
            <w:tcW w:w="1129" w:type="dxa"/>
            <w:tcBorders>
              <w:top w:val="nil"/>
              <w:left w:val="single" w:sz="8" w:space="0" w:color="000000"/>
              <w:bottom w:val="single" w:sz="4" w:space="0" w:color="000000"/>
              <w:right w:val="single" w:sz="8" w:space="0" w:color="000000"/>
            </w:tcBorders>
            <w:shd w:val="clear" w:color="auto" w:fill="auto"/>
            <w:vAlign w:val="center"/>
          </w:tcPr>
          <w:p w:rsidR="000A7E4A" w:rsidRDefault="0029199E">
            <w:pPr>
              <w:spacing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Forest Directorate</w:t>
            </w:r>
          </w:p>
        </w:tc>
        <w:tc>
          <w:tcPr>
            <w:tcW w:w="1129" w:type="dxa"/>
            <w:vMerge/>
            <w:tcBorders>
              <w:top w:val="nil"/>
              <w:left w:val="single" w:sz="8" w:space="0" w:color="000000"/>
              <w:bottom w:val="single" w:sz="4" w:space="0" w:color="000000"/>
              <w:right w:val="single" w:sz="8" w:space="0" w:color="000000"/>
            </w:tcBorders>
            <w:vAlign w:val="center"/>
          </w:tcPr>
          <w:p w:rsidR="000A7E4A" w:rsidRDefault="000A7E4A">
            <w:pPr>
              <w:widowControl w:val="0"/>
              <w:pBdr>
                <w:top w:val="nil"/>
                <w:left w:val="nil"/>
                <w:bottom w:val="nil"/>
                <w:right w:val="nil"/>
                <w:between w:val="nil"/>
              </w:pBdr>
              <w:spacing w:line="276" w:lineRule="auto"/>
              <w:rPr>
                <w:rFonts w:ascii="Times New Roman" w:eastAsia="Times New Roman" w:hAnsi="Times New Roman" w:cs="Times New Roman"/>
                <w:color w:val="000000"/>
                <w:sz w:val="20"/>
                <w:szCs w:val="20"/>
              </w:rPr>
            </w:pPr>
          </w:p>
        </w:tc>
        <w:tc>
          <w:tcPr>
            <w:tcW w:w="982" w:type="dxa"/>
            <w:vMerge/>
            <w:tcBorders>
              <w:top w:val="nil"/>
              <w:left w:val="single" w:sz="8" w:space="0" w:color="000000"/>
              <w:bottom w:val="single" w:sz="4" w:space="0" w:color="000000"/>
              <w:right w:val="single" w:sz="8" w:space="0" w:color="000000"/>
            </w:tcBorders>
            <w:shd w:val="clear" w:color="auto" w:fill="auto"/>
            <w:vAlign w:val="center"/>
          </w:tcPr>
          <w:p w:rsidR="000A7E4A" w:rsidRDefault="000A7E4A">
            <w:pPr>
              <w:widowControl w:val="0"/>
              <w:pBdr>
                <w:top w:val="nil"/>
                <w:left w:val="nil"/>
                <w:bottom w:val="nil"/>
                <w:right w:val="nil"/>
                <w:between w:val="nil"/>
              </w:pBdr>
              <w:spacing w:line="276" w:lineRule="auto"/>
              <w:rPr>
                <w:rFonts w:ascii="Times New Roman" w:eastAsia="Times New Roman" w:hAnsi="Times New Roman" w:cs="Times New Roman"/>
                <w:color w:val="000000"/>
                <w:sz w:val="20"/>
                <w:szCs w:val="20"/>
              </w:rPr>
            </w:pPr>
          </w:p>
        </w:tc>
        <w:tc>
          <w:tcPr>
            <w:tcW w:w="1199" w:type="dxa"/>
            <w:vMerge/>
            <w:tcBorders>
              <w:top w:val="nil"/>
              <w:left w:val="single" w:sz="8" w:space="0" w:color="000000"/>
              <w:bottom w:val="single" w:sz="4" w:space="0" w:color="000000"/>
              <w:right w:val="single" w:sz="8" w:space="0" w:color="000000"/>
            </w:tcBorders>
            <w:shd w:val="clear" w:color="auto" w:fill="FFFF00"/>
            <w:vAlign w:val="center"/>
          </w:tcPr>
          <w:p w:rsidR="000A7E4A" w:rsidRDefault="000A7E4A">
            <w:pPr>
              <w:widowControl w:val="0"/>
              <w:pBdr>
                <w:top w:val="nil"/>
                <w:left w:val="nil"/>
                <w:bottom w:val="nil"/>
                <w:right w:val="nil"/>
                <w:between w:val="nil"/>
              </w:pBdr>
              <w:spacing w:line="276" w:lineRule="auto"/>
              <w:rPr>
                <w:rFonts w:ascii="Times New Roman" w:eastAsia="Times New Roman" w:hAnsi="Times New Roman" w:cs="Times New Roman"/>
                <w:color w:val="000000"/>
                <w:sz w:val="20"/>
                <w:szCs w:val="20"/>
              </w:rPr>
            </w:pPr>
          </w:p>
        </w:tc>
        <w:tc>
          <w:tcPr>
            <w:tcW w:w="704" w:type="dxa"/>
            <w:tcBorders>
              <w:top w:val="nil"/>
              <w:left w:val="nil"/>
              <w:bottom w:val="single" w:sz="4" w:space="0" w:color="000000"/>
              <w:right w:val="single" w:sz="4" w:space="0" w:color="000000"/>
            </w:tcBorders>
            <w:shd w:val="clear" w:color="auto" w:fill="auto"/>
            <w:vAlign w:val="center"/>
          </w:tcPr>
          <w:p w:rsidR="000A7E4A" w:rsidRDefault="0029199E">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2020</w:t>
            </w:r>
          </w:p>
        </w:tc>
        <w:tc>
          <w:tcPr>
            <w:tcW w:w="704" w:type="dxa"/>
            <w:tcBorders>
              <w:top w:val="single" w:sz="4" w:space="0" w:color="000000"/>
              <w:left w:val="single" w:sz="4" w:space="0" w:color="000000"/>
              <w:bottom w:val="single" w:sz="4" w:space="0" w:color="000000"/>
              <w:right w:val="single" w:sz="4" w:space="0" w:color="000000"/>
            </w:tcBorders>
          </w:tcPr>
          <w:p w:rsidR="000A7E4A" w:rsidRDefault="0029199E">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r>
      <w:tr w:rsidR="000A7E4A">
        <w:trPr>
          <w:trHeight w:val="1460"/>
        </w:trPr>
        <w:tc>
          <w:tcPr>
            <w:tcW w:w="1226" w:type="dxa"/>
            <w:tcBorders>
              <w:top w:val="nil"/>
              <w:left w:val="single" w:sz="8" w:space="0" w:color="000000"/>
              <w:bottom w:val="single" w:sz="4" w:space="0" w:color="000000"/>
              <w:right w:val="single" w:sz="8" w:space="0" w:color="000000"/>
            </w:tcBorders>
            <w:shd w:val="clear" w:color="auto" w:fill="auto"/>
            <w:vAlign w:val="center"/>
          </w:tcPr>
          <w:p w:rsidR="000A7E4A" w:rsidRDefault="0029199E">
            <w:pPr>
              <w:spacing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2. </w:t>
            </w:r>
            <w:r>
              <w:rPr>
                <w:rFonts w:ascii="Times New Roman" w:eastAsia="Times New Roman" w:hAnsi="Times New Roman" w:cs="Times New Roman"/>
                <w:b/>
                <w:color w:val="000000"/>
                <w:sz w:val="20"/>
                <w:szCs w:val="20"/>
              </w:rPr>
              <w:t>COPNAG implements an adjusted and new Territorial Life Plan that reflects the vision of their base organizations</w:t>
            </w:r>
          </w:p>
        </w:tc>
        <w:tc>
          <w:tcPr>
            <w:tcW w:w="1554" w:type="dxa"/>
            <w:tcBorders>
              <w:top w:val="nil"/>
              <w:left w:val="nil"/>
              <w:bottom w:val="single" w:sz="4" w:space="0" w:color="000000"/>
              <w:right w:val="single" w:sz="8" w:space="0" w:color="000000"/>
            </w:tcBorders>
            <w:shd w:val="clear" w:color="auto" w:fill="auto"/>
            <w:vAlign w:val="center"/>
          </w:tcPr>
          <w:p w:rsidR="000A7E4A" w:rsidRDefault="0029199E">
            <w:pPr>
              <w:spacing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2.1 COPNAG approves the adjusted Territorial Life Plan that reflects the vision of their base organizations</w:t>
            </w:r>
          </w:p>
        </w:tc>
        <w:tc>
          <w:tcPr>
            <w:tcW w:w="1413" w:type="dxa"/>
            <w:tcBorders>
              <w:top w:val="nil"/>
              <w:left w:val="nil"/>
              <w:bottom w:val="single" w:sz="4" w:space="0" w:color="000000"/>
              <w:right w:val="single" w:sz="8" w:space="0" w:color="000000"/>
            </w:tcBorders>
            <w:shd w:val="clear" w:color="auto" w:fill="auto"/>
            <w:vAlign w:val="center"/>
          </w:tcPr>
          <w:p w:rsidR="000A7E4A" w:rsidRDefault="0029199E">
            <w:pPr>
              <w:spacing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2.4. COPNAG is aware that Guarayos community forest management is a strategic resource for the territory. </w:t>
            </w:r>
          </w:p>
        </w:tc>
        <w:tc>
          <w:tcPr>
            <w:tcW w:w="1412" w:type="dxa"/>
            <w:tcBorders>
              <w:top w:val="nil"/>
              <w:left w:val="nil"/>
              <w:bottom w:val="single" w:sz="4" w:space="0" w:color="000000"/>
              <w:right w:val="single" w:sz="8" w:space="0" w:color="000000"/>
            </w:tcBorders>
            <w:shd w:val="clear" w:color="auto" w:fill="auto"/>
            <w:vAlign w:val="center"/>
          </w:tcPr>
          <w:p w:rsidR="000A7E4A" w:rsidRDefault="0029199E">
            <w:pPr>
              <w:spacing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2.4. COPNAG is aware that Guarayos community forest management is a strategic resource for the territory. </w:t>
            </w:r>
          </w:p>
        </w:tc>
        <w:tc>
          <w:tcPr>
            <w:tcW w:w="1271" w:type="dxa"/>
            <w:tcBorders>
              <w:top w:val="nil"/>
              <w:left w:val="nil"/>
              <w:bottom w:val="single" w:sz="4" w:space="0" w:color="000000"/>
              <w:right w:val="single" w:sz="8" w:space="0" w:color="000000"/>
            </w:tcBorders>
            <w:shd w:val="clear" w:color="auto" w:fill="auto"/>
            <w:vAlign w:val="center"/>
          </w:tcPr>
          <w:p w:rsidR="000A7E4A" w:rsidRDefault="0029199E">
            <w:pPr>
              <w:spacing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COPNAG</w:t>
            </w:r>
          </w:p>
        </w:tc>
        <w:tc>
          <w:tcPr>
            <w:tcW w:w="1980" w:type="dxa"/>
            <w:tcBorders>
              <w:top w:val="nil"/>
              <w:left w:val="single" w:sz="4" w:space="0" w:color="000000"/>
              <w:bottom w:val="single" w:sz="4" w:space="0" w:color="000000"/>
              <w:right w:val="single" w:sz="4" w:space="0" w:color="000000"/>
            </w:tcBorders>
            <w:shd w:val="clear" w:color="auto" w:fill="auto"/>
            <w:vAlign w:val="center"/>
          </w:tcPr>
          <w:p w:rsidR="000A7E4A" w:rsidRDefault="0029199E">
            <w:pPr>
              <w:spacing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2a. Workshops increase awareness </w:t>
            </w:r>
            <w:r>
              <w:rPr>
                <w:rFonts w:ascii="Times New Roman" w:eastAsia="Times New Roman" w:hAnsi="Times New Roman" w:cs="Times New Roman"/>
                <w:sz w:val="20"/>
                <w:szCs w:val="20"/>
              </w:rPr>
              <w:t xml:space="preserve">of AFIG and OFCs of the importance of </w:t>
            </w:r>
            <w:r>
              <w:rPr>
                <w:rFonts w:ascii="Times New Roman" w:eastAsia="Times New Roman" w:hAnsi="Times New Roman" w:cs="Times New Roman"/>
                <w:color w:val="000000"/>
                <w:sz w:val="20"/>
                <w:szCs w:val="20"/>
              </w:rPr>
              <w:t>forest management for the sustainable development of the</w:t>
            </w:r>
            <w:r>
              <w:rPr>
                <w:rFonts w:ascii="Times New Roman" w:eastAsia="Times New Roman" w:hAnsi="Times New Roman" w:cs="Times New Roman"/>
                <w:sz w:val="20"/>
                <w:szCs w:val="20"/>
              </w:rPr>
              <w:t xml:space="preserve">ir </w:t>
            </w:r>
            <w:r>
              <w:rPr>
                <w:rFonts w:ascii="Times New Roman" w:eastAsia="Times New Roman" w:hAnsi="Times New Roman" w:cs="Times New Roman"/>
                <w:color w:val="000000"/>
                <w:sz w:val="20"/>
                <w:szCs w:val="20"/>
              </w:rPr>
              <w:t>territory.</w:t>
            </w:r>
          </w:p>
        </w:tc>
        <w:tc>
          <w:tcPr>
            <w:tcW w:w="1129" w:type="dxa"/>
            <w:tcBorders>
              <w:top w:val="nil"/>
              <w:left w:val="single" w:sz="8" w:space="0" w:color="000000"/>
              <w:bottom w:val="single" w:sz="4" w:space="0" w:color="000000"/>
              <w:right w:val="single" w:sz="8" w:space="0" w:color="000000"/>
            </w:tcBorders>
            <w:shd w:val="clear" w:color="auto" w:fill="auto"/>
            <w:vAlign w:val="center"/>
          </w:tcPr>
          <w:p w:rsidR="000A7E4A" w:rsidRDefault="0029199E">
            <w:pPr>
              <w:spacing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AFIG, OFC</w:t>
            </w:r>
            <w:r>
              <w:rPr>
                <w:rFonts w:ascii="Times New Roman" w:eastAsia="Times New Roman" w:hAnsi="Times New Roman" w:cs="Times New Roman"/>
                <w:sz w:val="20"/>
                <w:szCs w:val="20"/>
              </w:rPr>
              <w:t>s</w:t>
            </w:r>
          </w:p>
        </w:tc>
        <w:tc>
          <w:tcPr>
            <w:tcW w:w="1129" w:type="dxa"/>
            <w:tcBorders>
              <w:top w:val="nil"/>
              <w:left w:val="nil"/>
              <w:bottom w:val="single" w:sz="4" w:space="0" w:color="000000"/>
              <w:right w:val="single" w:sz="8" w:space="0" w:color="000000"/>
            </w:tcBorders>
            <w:shd w:val="clear" w:color="auto" w:fill="auto"/>
            <w:vAlign w:val="center"/>
          </w:tcPr>
          <w:p w:rsidR="000A7E4A" w:rsidRDefault="001E3D64">
            <w:pPr>
              <w:spacing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E.</w:t>
            </w:r>
            <w:r w:rsidR="0029199E">
              <w:rPr>
                <w:rFonts w:ascii="Times New Roman" w:eastAsia="Times New Roman" w:hAnsi="Times New Roman" w:cs="Times New Roman"/>
                <w:color w:val="000000"/>
                <w:sz w:val="20"/>
                <w:szCs w:val="20"/>
              </w:rPr>
              <w:t> </w:t>
            </w:r>
            <w:r w:rsidR="0029199E">
              <w:rPr>
                <w:rFonts w:ascii="Times New Roman" w:eastAsia="Times New Roman" w:hAnsi="Times New Roman" w:cs="Times New Roman"/>
                <w:sz w:val="20"/>
                <w:szCs w:val="20"/>
              </w:rPr>
              <w:t>Intervention informed by an in depth analysis of gender and age differences and how to advance gender and youth equality.</w:t>
            </w:r>
          </w:p>
        </w:tc>
        <w:tc>
          <w:tcPr>
            <w:tcW w:w="982" w:type="dxa"/>
            <w:tcBorders>
              <w:top w:val="nil"/>
              <w:left w:val="nil"/>
              <w:bottom w:val="single" w:sz="4" w:space="0" w:color="000000"/>
              <w:right w:val="single" w:sz="8" w:space="0" w:color="000000"/>
            </w:tcBorders>
            <w:shd w:val="clear" w:color="auto" w:fill="auto"/>
            <w:vAlign w:val="center"/>
          </w:tcPr>
          <w:p w:rsidR="000A7E4A" w:rsidRDefault="0029199E">
            <w:pPr>
              <w:spacing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Gender and Youth</w:t>
            </w:r>
          </w:p>
        </w:tc>
        <w:tc>
          <w:tcPr>
            <w:tcW w:w="1199" w:type="dxa"/>
            <w:tcBorders>
              <w:top w:val="nil"/>
              <w:left w:val="nil"/>
              <w:bottom w:val="single" w:sz="4" w:space="0" w:color="000000"/>
              <w:right w:val="single" w:sz="8" w:space="0" w:color="000000"/>
            </w:tcBorders>
            <w:shd w:val="clear" w:color="auto" w:fill="A9D08E"/>
            <w:vAlign w:val="center"/>
          </w:tcPr>
          <w:p w:rsidR="000A7E4A" w:rsidRDefault="0029199E">
            <w:pPr>
              <w:spacing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Gender Responsive or Positive</w:t>
            </w:r>
          </w:p>
        </w:tc>
        <w:tc>
          <w:tcPr>
            <w:tcW w:w="704" w:type="dxa"/>
            <w:tcBorders>
              <w:top w:val="nil"/>
              <w:left w:val="nil"/>
              <w:bottom w:val="single" w:sz="4" w:space="0" w:color="000000"/>
              <w:right w:val="single" w:sz="4" w:space="0" w:color="000000"/>
            </w:tcBorders>
            <w:shd w:val="clear" w:color="auto" w:fill="auto"/>
            <w:vAlign w:val="center"/>
          </w:tcPr>
          <w:p w:rsidR="000A7E4A" w:rsidRDefault="0029199E">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2020</w:t>
            </w:r>
          </w:p>
        </w:tc>
        <w:tc>
          <w:tcPr>
            <w:tcW w:w="704" w:type="dxa"/>
            <w:tcBorders>
              <w:top w:val="single" w:sz="4" w:space="0" w:color="000000"/>
              <w:left w:val="single" w:sz="4" w:space="0" w:color="000000"/>
              <w:bottom w:val="single" w:sz="4" w:space="0" w:color="000000"/>
              <w:right w:val="single" w:sz="4" w:space="0" w:color="000000"/>
            </w:tcBorders>
          </w:tcPr>
          <w:p w:rsidR="000A7E4A" w:rsidRDefault="0029199E">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r>
      <w:tr w:rsidR="000A7E4A">
        <w:trPr>
          <w:trHeight w:val="1080"/>
        </w:trPr>
        <w:tc>
          <w:tcPr>
            <w:tcW w:w="1226" w:type="dxa"/>
            <w:vMerge w:val="restart"/>
            <w:tcBorders>
              <w:top w:val="nil"/>
              <w:left w:val="single" w:sz="8" w:space="0" w:color="000000"/>
              <w:bottom w:val="single" w:sz="4" w:space="0" w:color="000000"/>
              <w:right w:val="single" w:sz="8" w:space="0" w:color="000000"/>
            </w:tcBorders>
            <w:shd w:val="clear" w:color="auto" w:fill="auto"/>
            <w:vAlign w:val="center"/>
          </w:tcPr>
          <w:p w:rsidR="000A7E4A" w:rsidRDefault="0029199E">
            <w:pPr>
              <w:spacing w:line="240" w:lineRule="auto"/>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3. Centrales Indigenas guide the development of internal regulations related to the implementation of policies and practices that increase the resilience and sustainability of the Guarayos indigenous territory</w:t>
            </w:r>
          </w:p>
        </w:tc>
        <w:tc>
          <w:tcPr>
            <w:tcW w:w="1554" w:type="dxa"/>
            <w:vMerge w:val="restart"/>
            <w:tcBorders>
              <w:top w:val="nil"/>
              <w:left w:val="single" w:sz="8" w:space="0" w:color="000000"/>
              <w:bottom w:val="single" w:sz="4" w:space="0" w:color="000000"/>
              <w:right w:val="single" w:sz="8" w:space="0" w:color="000000"/>
            </w:tcBorders>
            <w:shd w:val="clear" w:color="auto" w:fill="auto"/>
            <w:vAlign w:val="center"/>
          </w:tcPr>
          <w:p w:rsidR="000A7E4A" w:rsidRDefault="0029199E">
            <w:pPr>
              <w:spacing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3.1. CIEA and CECU are organized, have developed their internal rules and regulations, and have influence and participation in the decision-making process related to the implementation of policies and practices that increase the resilience and sustainability of the Guarayos indigenous territory.</w:t>
            </w:r>
          </w:p>
        </w:tc>
        <w:tc>
          <w:tcPr>
            <w:tcW w:w="1413" w:type="dxa"/>
            <w:vMerge w:val="restart"/>
            <w:tcBorders>
              <w:top w:val="nil"/>
              <w:left w:val="single" w:sz="8" w:space="0" w:color="000000"/>
              <w:bottom w:val="single" w:sz="4" w:space="0" w:color="000000"/>
              <w:right w:val="single" w:sz="8" w:space="0" w:color="000000"/>
            </w:tcBorders>
            <w:shd w:val="clear" w:color="auto" w:fill="auto"/>
            <w:vAlign w:val="center"/>
          </w:tcPr>
          <w:p w:rsidR="000A7E4A" w:rsidRDefault="0029199E">
            <w:pPr>
              <w:spacing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3.5. CIEA and CECU are aware of their roles and responsibilities and understand their internal regulations related to the implementation of policies and practices that increase the resilience and sustainability of the Guarayos indigenous territory.</w:t>
            </w:r>
          </w:p>
        </w:tc>
        <w:tc>
          <w:tcPr>
            <w:tcW w:w="1412" w:type="dxa"/>
            <w:vMerge w:val="restart"/>
            <w:tcBorders>
              <w:top w:val="nil"/>
              <w:left w:val="single" w:sz="8" w:space="0" w:color="000000"/>
              <w:bottom w:val="single" w:sz="4" w:space="0" w:color="000000"/>
              <w:right w:val="single" w:sz="8" w:space="0" w:color="000000"/>
            </w:tcBorders>
            <w:shd w:val="clear" w:color="auto" w:fill="auto"/>
            <w:vAlign w:val="center"/>
          </w:tcPr>
          <w:p w:rsidR="000A7E4A" w:rsidRDefault="0029199E">
            <w:pPr>
              <w:spacing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3.4. CIEA and CECU are informed/aware of the importance of developing and implementing internal regulations for the Guarayos Territory. </w:t>
            </w:r>
          </w:p>
        </w:tc>
        <w:tc>
          <w:tcPr>
            <w:tcW w:w="1271" w:type="dxa"/>
            <w:vMerge w:val="restart"/>
            <w:tcBorders>
              <w:top w:val="nil"/>
              <w:left w:val="single" w:sz="8" w:space="0" w:color="000000"/>
              <w:bottom w:val="single" w:sz="4" w:space="0" w:color="000000"/>
              <w:right w:val="single" w:sz="8" w:space="0" w:color="000000"/>
            </w:tcBorders>
            <w:shd w:val="clear" w:color="auto" w:fill="auto"/>
            <w:vAlign w:val="center"/>
          </w:tcPr>
          <w:p w:rsidR="000A7E4A" w:rsidRDefault="0029199E">
            <w:pPr>
              <w:spacing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CIEA and CECU</w:t>
            </w:r>
          </w:p>
        </w:tc>
        <w:tc>
          <w:tcPr>
            <w:tcW w:w="1980" w:type="dxa"/>
            <w:tcBorders>
              <w:top w:val="nil"/>
              <w:left w:val="single" w:sz="4" w:space="0" w:color="000000"/>
              <w:bottom w:val="single" w:sz="4" w:space="0" w:color="000000"/>
              <w:right w:val="single" w:sz="4" w:space="0" w:color="000000"/>
            </w:tcBorders>
            <w:shd w:val="clear" w:color="auto" w:fill="auto"/>
            <w:vAlign w:val="center"/>
          </w:tcPr>
          <w:p w:rsidR="000A7E4A" w:rsidRPr="00750F3B" w:rsidRDefault="0029199E">
            <w:pPr>
              <w:spacing w:line="240" w:lineRule="auto"/>
              <w:rPr>
                <w:rFonts w:ascii="Times New Roman" w:eastAsia="Times New Roman" w:hAnsi="Times New Roman" w:cs="Times New Roman"/>
                <w:color w:val="000000"/>
                <w:sz w:val="20"/>
                <w:szCs w:val="20"/>
                <w:highlight w:val="yellow"/>
              </w:rPr>
            </w:pPr>
            <w:r w:rsidRPr="00750F3B">
              <w:rPr>
                <w:rFonts w:ascii="Times New Roman" w:eastAsia="Times New Roman" w:hAnsi="Times New Roman" w:cs="Times New Roman"/>
                <w:color w:val="000000"/>
                <w:sz w:val="20"/>
                <w:szCs w:val="20"/>
                <w:highlight w:val="yellow"/>
              </w:rPr>
              <w:t>3.a. Bilateral meetings with CIEA and CECU provide information on the importance of community forestry for the sustainable development of the Guarayos indigenous territory.</w:t>
            </w:r>
          </w:p>
        </w:tc>
        <w:tc>
          <w:tcPr>
            <w:tcW w:w="1129" w:type="dxa"/>
            <w:vMerge w:val="restart"/>
            <w:tcBorders>
              <w:top w:val="nil"/>
              <w:left w:val="single" w:sz="8" w:space="0" w:color="000000"/>
              <w:bottom w:val="single" w:sz="4" w:space="0" w:color="000000"/>
              <w:right w:val="single" w:sz="8" w:space="0" w:color="000000"/>
            </w:tcBorders>
            <w:shd w:val="clear" w:color="auto" w:fill="auto"/>
            <w:vAlign w:val="center"/>
          </w:tcPr>
          <w:p w:rsidR="000A7E4A" w:rsidRDefault="0029199E">
            <w:pPr>
              <w:spacing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CIEA and CECU</w:t>
            </w:r>
          </w:p>
        </w:tc>
        <w:tc>
          <w:tcPr>
            <w:tcW w:w="1129" w:type="dxa"/>
            <w:vMerge w:val="restart"/>
            <w:tcBorders>
              <w:top w:val="nil"/>
              <w:left w:val="single" w:sz="8" w:space="0" w:color="000000"/>
              <w:bottom w:val="single" w:sz="4" w:space="0" w:color="000000"/>
              <w:right w:val="single" w:sz="8" w:space="0" w:color="000000"/>
            </w:tcBorders>
            <w:shd w:val="clear" w:color="auto" w:fill="auto"/>
            <w:vAlign w:val="center"/>
          </w:tcPr>
          <w:p w:rsidR="000A7E4A" w:rsidRDefault="001E3D64">
            <w:pPr>
              <w:spacing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 xml:space="preserve">E. </w:t>
            </w:r>
            <w:r w:rsidR="0029199E">
              <w:rPr>
                <w:rFonts w:ascii="Times New Roman" w:eastAsia="Times New Roman" w:hAnsi="Times New Roman" w:cs="Times New Roman"/>
                <w:sz w:val="20"/>
                <w:szCs w:val="20"/>
              </w:rPr>
              <w:t>Intervention informed by an in depth analysis of gender and age differences and how to advance gender and youth equality.</w:t>
            </w:r>
          </w:p>
        </w:tc>
        <w:tc>
          <w:tcPr>
            <w:tcW w:w="982" w:type="dxa"/>
            <w:vMerge w:val="restart"/>
            <w:tcBorders>
              <w:top w:val="nil"/>
              <w:left w:val="single" w:sz="8" w:space="0" w:color="000000"/>
              <w:bottom w:val="single" w:sz="4" w:space="0" w:color="000000"/>
              <w:right w:val="single" w:sz="8" w:space="0" w:color="000000"/>
            </w:tcBorders>
            <w:shd w:val="clear" w:color="auto" w:fill="auto"/>
            <w:vAlign w:val="center"/>
          </w:tcPr>
          <w:p w:rsidR="000A7E4A" w:rsidRDefault="0029199E">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Gender and Youth</w:t>
            </w:r>
          </w:p>
        </w:tc>
        <w:tc>
          <w:tcPr>
            <w:tcW w:w="1199" w:type="dxa"/>
            <w:vMerge w:val="restart"/>
            <w:tcBorders>
              <w:top w:val="nil"/>
              <w:left w:val="single" w:sz="8" w:space="0" w:color="000000"/>
              <w:bottom w:val="single" w:sz="4" w:space="0" w:color="000000"/>
              <w:right w:val="single" w:sz="8" w:space="0" w:color="000000"/>
            </w:tcBorders>
            <w:shd w:val="clear" w:color="auto" w:fill="A9D08E"/>
            <w:vAlign w:val="center"/>
          </w:tcPr>
          <w:p w:rsidR="000A7E4A" w:rsidRDefault="000A7E4A">
            <w:pPr>
              <w:spacing w:line="240" w:lineRule="auto"/>
              <w:jc w:val="center"/>
              <w:rPr>
                <w:rFonts w:ascii="Times New Roman" w:eastAsia="Times New Roman" w:hAnsi="Times New Roman" w:cs="Times New Roman"/>
                <w:color w:val="000000"/>
                <w:sz w:val="20"/>
                <w:szCs w:val="20"/>
              </w:rPr>
            </w:pPr>
          </w:p>
        </w:tc>
        <w:tc>
          <w:tcPr>
            <w:tcW w:w="704" w:type="dxa"/>
            <w:tcBorders>
              <w:top w:val="nil"/>
              <w:left w:val="nil"/>
              <w:bottom w:val="single" w:sz="4" w:space="0" w:color="000000"/>
              <w:right w:val="single" w:sz="4" w:space="0" w:color="000000"/>
            </w:tcBorders>
            <w:shd w:val="clear" w:color="auto" w:fill="auto"/>
            <w:vAlign w:val="center"/>
          </w:tcPr>
          <w:p w:rsidR="000A7E4A" w:rsidRDefault="0029199E">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2020</w:t>
            </w:r>
          </w:p>
        </w:tc>
        <w:tc>
          <w:tcPr>
            <w:tcW w:w="704" w:type="dxa"/>
            <w:tcBorders>
              <w:top w:val="single" w:sz="4" w:space="0" w:color="000000"/>
              <w:left w:val="single" w:sz="4" w:space="0" w:color="000000"/>
              <w:bottom w:val="single" w:sz="4" w:space="0" w:color="000000"/>
              <w:right w:val="single" w:sz="4" w:space="0" w:color="000000"/>
            </w:tcBorders>
          </w:tcPr>
          <w:p w:rsidR="000A7E4A" w:rsidRDefault="0029199E">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r>
      <w:tr w:rsidR="000A7E4A">
        <w:trPr>
          <w:trHeight w:val="880"/>
        </w:trPr>
        <w:tc>
          <w:tcPr>
            <w:tcW w:w="1226" w:type="dxa"/>
            <w:vMerge/>
            <w:tcBorders>
              <w:top w:val="nil"/>
              <w:left w:val="single" w:sz="8" w:space="0" w:color="000000"/>
              <w:bottom w:val="single" w:sz="4" w:space="0" w:color="000000"/>
              <w:right w:val="single" w:sz="8" w:space="0" w:color="000000"/>
            </w:tcBorders>
            <w:shd w:val="clear" w:color="auto" w:fill="auto"/>
            <w:vAlign w:val="center"/>
          </w:tcPr>
          <w:p w:rsidR="000A7E4A" w:rsidRDefault="000A7E4A">
            <w:pPr>
              <w:widowControl w:val="0"/>
              <w:pBdr>
                <w:top w:val="nil"/>
                <w:left w:val="nil"/>
                <w:bottom w:val="nil"/>
                <w:right w:val="nil"/>
                <w:between w:val="nil"/>
              </w:pBdr>
              <w:spacing w:line="276" w:lineRule="auto"/>
              <w:rPr>
                <w:rFonts w:ascii="Times New Roman" w:eastAsia="Times New Roman" w:hAnsi="Times New Roman" w:cs="Times New Roman"/>
                <w:color w:val="000000"/>
                <w:sz w:val="20"/>
                <w:szCs w:val="20"/>
              </w:rPr>
            </w:pPr>
          </w:p>
        </w:tc>
        <w:tc>
          <w:tcPr>
            <w:tcW w:w="1554" w:type="dxa"/>
            <w:vMerge/>
            <w:tcBorders>
              <w:top w:val="nil"/>
              <w:left w:val="single" w:sz="8" w:space="0" w:color="000000"/>
              <w:bottom w:val="single" w:sz="4" w:space="0" w:color="000000"/>
              <w:right w:val="single" w:sz="8" w:space="0" w:color="000000"/>
            </w:tcBorders>
            <w:shd w:val="clear" w:color="auto" w:fill="auto"/>
            <w:vAlign w:val="center"/>
          </w:tcPr>
          <w:p w:rsidR="000A7E4A" w:rsidRDefault="000A7E4A">
            <w:pPr>
              <w:widowControl w:val="0"/>
              <w:pBdr>
                <w:top w:val="nil"/>
                <w:left w:val="nil"/>
                <w:bottom w:val="nil"/>
                <w:right w:val="nil"/>
                <w:between w:val="nil"/>
              </w:pBdr>
              <w:spacing w:line="276" w:lineRule="auto"/>
              <w:rPr>
                <w:rFonts w:ascii="Times New Roman" w:eastAsia="Times New Roman" w:hAnsi="Times New Roman" w:cs="Times New Roman"/>
                <w:color w:val="000000"/>
                <w:sz w:val="20"/>
                <w:szCs w:val="20"/>
              </w:rPr>
            </w:pPr>
          </w:p>
        </w:tc>
        <w:tc>
          <w:tcPr>
            <w:tcW w:w="1413" w:type="dxa"/>
            <w:vMerge/>
            <w:tcBorders>
              <w:top w:val="nil"/>
              <w:left w:val="single" w:sz="8" w:space="0" w:color="000000"/>
              <w:bottom w:val="single" w:sz="4" w:space="0" w:color="000000"/>
              <w:right w:val="single" w:sz="8" w:space="0" w:color="000000"/>
            </w:tcBorders>
            <w:shd w:val="clear" w:color="auto" w:fill="auto"/>
            <w:vAlign w:val="center"/>
          </w:tcPr>
          <w:p w:rsidR="000A7E4A" w:rsidRDefault="000A7E4A">
            <w:pPr>
              <w:widowControl w:val="0"/>
              <w:pBdr>
                <w:top w:val="nil"/>
                <w:left w:val="nil"/>
                <w:bottom w:val="nil"/>
                <w:right w:val="nil"/>
                <w:between w:val="nil"/>
              </w:pBdr>
              <w:spacing w:line="276" w:lineRule="auto"/>
              <w:rPr>
                <w:rFonts w:ascii="Times New Roman" w:eastAsia="Times New Roman" w:hAnsi="Times New Roman" w:cs="Times New Roman"/>
                <w:color w:val="000000"/>
                <w:sz w:val="20"/>
                <w:szCs w:val="20"/>
              </w:rPr>
            </w:pPr>
          </w:p>
        </w:tc>
        <w:tc>
          <w:tcPr>
            <w:tcW w:w="1412" w:type="dxa"/>
            <w:vMerge/>
            <w:tcBorders>
              <w:top w:val="nil"/>
              <w:left w:val="single" w:sz="8" w:space="0" w:color="000000"/>
              <w:bottom w:val="single" w:sz="4" w:space="0" w:color="000000"/>
              <w:right w:val="single" w:sz="8" w:space="0" w:color="000000"/>
            </w:tcBorders>
            <w:shd w:val="clear" w:color="auto" w:fill="auto"/>
            <w:vAlign w:val="center"/>
          </w:tcPr>
          <w:p w:rsidR="000A7E4A" w:rsidRDefault="000A7E4A">
            <w:pPr>
              <w:widowControl w:val="0"/>
              <w:pBdr>
                <w:top w:val="nil"/>
                <w:left w:val="nil"/>
                <w:bottom w:val="nil"/>
                <w:right w:val="nil"/>
                <w:between w:val="nil"/>
              </w:pBdr>
              <w:spacing w:line="276" w:lineRule="auto"/>
              <w:rPr>
                <w:rFonts w:ascii="Times New Roman" w:eastAsia="Times New Roman" w:hAnsi="Times New Roman" w:cs="Times New Roman"/>
                <w:color w:val="000000"/>
                <w:sz w:val="20"/>
                <w:szCs w:val="20"/>
              </w:rPr>
            </w:pPr>
          </w:p>
        </w:tc>
        <w:tc>
          <w:tcPr>
            <w:tcW w:w="1271" w:type="dxa"/>
            <w:vMerge/>
            <w:tcBorders>
              <w:top w:val="nil"/>
              <w:left w:val="single" w:sz="8" w:space="0" w:color="000000"/>
              <w:bottom w:val="single" w:sz="4" w:space="0" w:color="000000"/>
              <w:right w:val="single" w:sz="8" w:space="0" w:color="000000"/>
            </w:tcBorders>
            <w:shd w:val="clear" w:color="auto" w:fill="auto"/>
            <w:vAlign w:val="center"/>
          </w:tcPr>
          <w:p w:rsidR="000A7E4A" w:rsidRDefault="000A7E4A">
            <w:pPr>
              <w:widowControl w:val="0"/>
              <w:pBdr>
                <w:top w:val="nil"/>
                <w:left w:val="nil"/>
                <w:bottom w:val="nil"/>
                <w:right w:val="nil"/>
                <w:between w:val="nil"/>
              </w:pBdr>
              <w:spacing w:line="276" w:lineRule="auto"/>
              <w:rPr>
                <w:rFonts w:ascii="Times New Roman" w:eastAsia="Times New Roman" w:hAnsi="Times New Roman" w:cs="Times New Roman"/>
                <w:color w:val="000000"/>
                <w:sz w:val="20"/>
                <w:szCs w:val="20"/>
              </w:rPr>
            </w:pPr>
          </w:p>
        </w:tc>
        <w:tc>
          <w:tcPr>
            <w:tcW w:w="1980" w:type="dxa"/>
            <w:tcBorders>
              <w:top w:val="nil"/>
              <w:left w:val="single" w:sz="4" w:space="0" w:color="000000"/>
              <w:bottom w:val="single" w:sz="4" w:space="0" w:color="000000"/>
              <w:right w:val="single" w:sz="4" w:space="0" w:color="000000"/>
            </w:tcBorders>
            <w:shd w:val="clear" w:color="auto" w:fill="auto"/>
            <w:vAlign w:val="center"/>
          </w:tcPr>
          <w:p w:rsidR="000A7E4A" w:rsidRPr="00750F3B" w:rsidRDefault="0029199E">
            <w:pPr>
              <w:spacing w:line="240" w:lineRule="auto"/>
              <w:rPr>
                <w:rFonts w:ascii="Times New Roman" w:eastAsia="Times New Roman" w:hAnsi="Times New Roman" w:cs="Times New Roman"/>
                <w:color w:val="000000"/>
                <w:sz w:val="20"/>
                <w:szCs w:val="20"/>
                <w:highlight w:val="yellow"/>
              </w:rPr>
            </w:pPr>
            <w:r w:rsidRPr="00750F3B">
              <w:rPr>
                <w:rFonts w:ascii="Times New Roman" w:eastAsia="Times New Roman" w:hAnsi="Times New Roman" w:cs="Times New Roman"/>
                <w:color w:val="000000"/>
                <w:sz w:val="20"/>
                <w:szCs w:val="20"/>
                <w:highlight w:val="yellow"/>
              </w:rPr>
              <w:t>3.b. Update CIEA internal regulations on access and use of natural resources to improve their territorial governance.</w:t>
            </w:r>
          </w:p>
        </w:tc>
        <w:tc>
          <w:tcPr>
            <w:tcW w:w="1129" w:type="dxa"/>
            <w:vMerge/>
            <w:tcBorders>
              <w:top w:val="nil"/>
              <w:left w:val="single" w:sz="8" w:space="0" w:color="000000"/>
              <w:bottom w:val="single" w:sz="4" w:space="0" w:color="000000"/>
              <w:right w:val="single" w:sz="8" w:space="0" w:color="000000"/>
            </w:tcBorders>
            <w:shd w:val="clear" w:color="auto" w:fill="auto"/>
            <w:vAlign w:val="center"/>
          </w:tcPr>
          <w:p w:rsidR="000A7E4A" w:rsidRDefault="000A7E4A">
            <w:pPr>
              <w:widowControl w:val="0"/>
              <w:pBdr>
                <w:top w:val="nil"/>
                <w:left w:val="nil"/>
                <w:bottom w:val="nil"/>
                <w:right w:val="nil"/>
                <w:between w:val="nil"/>
              </w:pBdr>
              <w:spacing w:line="276" w:lineRule="auto"/>
              <w:rPr>
                <w:rFonts w:ascii="Times New Roman" w:eastAsia="Times New Roman" w:hAnsi="Times New Roman" w:cs="Times New Roman"/>
                <w:color w:val="000000"/>
                <w:sz w:val="20"/>
                <w:szCs w:val="20"/>
              </w:rPr>
            </w:pPr>
          </w:p>
        </w:tc>
        <w:tc>
          <w:tcPr>
            <w:tcW w:w="1129" w:type="dxa"/>
            <w:vMerge/>
            <w:tcBorders>
              <w:top w:val="nil"/>
              <w:left w:val="single" w:sz="8" w:space="0" w:color="000000"/>
              <w:bottom w:val="single" w:sz="4" w:space="0" w:color="000000"/>
              <w:right w:val="single" w:sz="8" w:space="0" w:color="000000"/>
            </w:tcBorders>
            <w:shd w:val="clear" w:color="auto" w:fill="auto"/>
            <w:vAlign w:val="center"/>
          </w:tcPr>
          <w:p w:rsidR="000A7E4A" w:rsidRDefault="000A7E4A">
            <w:pPr>
              <w:widowControl w:val="0"/>
              <w:pBdr>
                <w:top w:val="nil"/>
                <w:left w:val="nil"/>
                <w:bottom w:val="nil"/>
                <w:right w:val="nil"/>
                <w:between w:val="nil"/>
              </w:pBdr>
              <w:spacing w:line="276" w:lineRule="auto"/>
              <w:rPr>
                <w:rFonts w:ascii="Times New Roman" w:eastAsia="Times New Roman" w:hAnsi="Times New Roman" w:cs="Times New Roman"/>
                <w:color w:val="000000"/>
                <w:sz w:val="20"/>
                <w:szCs w:val="20"/>
              </w:rPr>
            </w:pPr>
          </w:p>
        </w:tc>
        <w:tc>
          <w:tcPr>
            <w:tcW w:w="982" w:type="dxa"/>
            <w:vMerge/>
            <w:tcBorders>
              <w:top w:val="nil"/>
              <w:left w:val="single" w:sz="8" w:space="0" w:color="000000"/>
              <w:bottom w:val="single" w:sz="4" w:space="0" w:color="000000"/>
              <w:right w:val="single" w:sz="8" w:space="0" w:color="000000"/>
            </w:tcBorders>
            <w:shd w:val="clear" w:color="auto" w:fill="auto"/>
            <w:vAlign w:val="center"/>
          </w:tcPr>
          <w:p w:rsidR="000A7E4A" w:rsidRDefault="000A7E4A">
            <w:pPr>
              <w:widowControl w:val="0"/>
              <w:pBdr>
                <w:top w:val="nil"/>
                <w:left w:val="nil"/>
                <w:bottom w:val="nil"/>
                <w:right w:val="nil"/>
                <w:between w:val="nil"/>
              </w:pBdr>
              <w:spacing w:line="276" w:lineRule="auto"/>
              <w:rPr>
                <w:rFonts w:ascii="Times New Roman" w:eastAsia="Times New Roman" w:hAnsi="Times New Roman" w:cs="Times New Roman"/>
                <w:color w:val="000000"/>
                <w:sz w:val="20"/>
                <w:szCs w:val="20"/>
              </w:rPr>
            </w:pPr>
          </w:p>
        </w:tc>
        <w:tc>
          <w:tcPr>
            <w:tcW w:w="1199" w:type="dxa"/>
            <w:vMerge/>
            <w:tcBorders>
              <w:top w:val="nil"/>
              <w:left w:val="single" w:sz="8" w:space="0" w:color="000000"/>
              <w:bottom w:val="single" w:sz="4" w:space="0" w:color="000000"/>
              <w:right w:val="single" w:sz="8" w:space="0" w:color="000000"/>
            </w:tcBorders>
            <w:shd w:val="clear" w:color="auto" w:fill="A9D08E"/>
            <w:vAlign w:val="center"/>
          </w:tcPr>
          <w:p w:rsidR="000A7E4A" w:rsidRDefault="000A7E4A">
            <w:pPr>
              <w:widowControl w:val="0"/>
              <w:pBdr>
                <w:top w:val="nil"/>
                <w:left w:val="nil"/>
                <w:bottom w:val="nil"/>
                <w:right w:val="nil"/>
                <w:between w:val="nil"/>
              </w:pBdr>
              <w:spacing w:line="276" w:lineRule="auto"/>
              <w:rPr>
                <w:rFonts w:ascii="Times New Roman" w:eastAsia="Times New Roman" w:hAnsi="Times New Roman" w:cs="Times New Roman"/>
                <w:color w:val="000000"/>
                <w:sz w:val="20"/>
                <w:szCs w:val="20"/>
              </w:rPr>
            </w:pPr>
          </w:p>
        </w:tc>
        <w:tc>
          <w:tcPr>
            <w:tcW w:w="704" w:type="dxa"/>
            <w:tcBorders>
              <w:top w:val="nil"/>
              <w:left w:val="nil"/>
              <w:bottom w:val="single" w:sz="4" w:space="0" w:color="000000"/>
              <w:right w:val="single" w:sz="4" w:space="0" w:color="000000"/>
            </w:tcBorders>
            <w:shd w:val="clear" w:color="auto" w:fill="auto"/>
            <w:vAlign w:val="center"/>
          </w:tcPr>
          <w:p w:rsidR="000A7E4A" w:rsidRDefault="0029199E">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2020</w:t>
            </w:r>
          </w:p>
        </w:tc>
        <w:tc>
          <w:tcPr>
            <w:tcW w:w="704" w:type="dxa"/>
            <w:tcBorders>
              <w:top w:val="single" w:sz="4" w:space="0" w:color="000000"/>
              <w:left w:val="single" w:sz="4" w:space="0" w:color="000000"/>
              <w:bottom w:val="single" w:sz="4" w:space="0" w:color="000000"/>
              <w:right w:val="single" w:sz="4" w:space="0" w:color="000000"/>
            </w:tcBorders>
          </w:tcPr>
          <w:p w:rsidR="000A7E4A" w:rsidRDefault="0029199E">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r>
      <w:tr w:rsidR="000A7E4A">
        <w:trPr>
          <w:trHeight w:val="980"/>
        </w:trPr>
        <w:tc>
          <w:tcPr>
            <w:tcW w:w="1226" w:type="dxa"/>
            <w:vMerge/>
            <w:tcBorders>
              <w:top w:val="nil"/>
              <w:left w:val="single" w:sz="8" w:space="0" w:color="000000"/>
              <w:bottom w:val="single" w:sz="4" w:space="0" w:color="000000"/>
              <w:right w:val="single" w:sz="8" w:space="0" w:color="000000"/>
            </w:tcBorders>
            <w:shd w:val="clear" w:color="auto" w:fill="auto"/>
            <w:vAlign w:val="center"/>
          </w:tcPr>
          <w:p w:rsidR="000A7E4A" w:rsidRDefault="000A7E4A">
            <w:pPr>
              <w:widowControl w:val="0"/>
              <w:pBdr>
                <w:top w:val="nil"/>
                <w:left w:val="nil"/>
                <w:bottom w:val="nil"/>
                <w:right w:val="nil"/>
                <w:between w:val="nil"/>
              </w:pBdr>
              <w:spacing w:line="276" w:lineRule="auto"/>
              <w:rPr>
                <w:rFonts w:ascii="Times New Roman" w:eastAsia="Times New Roman" w:hAnsi="Times New Roman" w:cs="Times New Roman"/>
                <w:color w:val="000000"/>
                <w:sz w:val="20"/>
                <w:szCs w:val="20"/>
              </w:rPr>
            </w:pPr>
          </w:p>
        </w:tc>
        <w:tc>
          <w:tcPr>
            <w:tcW w:w="1554" w:type="dxa"/>
            <w:vMerge/>
            <w:tcBorders>
              <w:top w:val="nil"/>
              <w:left w:val="single" w:sz="8" w:space="0" w:color="000000"/>
              <w:bottom w:val="single" w:sz="4" w:space="0" w:color="000000"/>
              <w:right w:val="single" w:sz="8" w:space="0" w:color="000000"/>
            </w:tcBorders>
            <w:shd w:val="clear" w:color="auto" w:fill="auto"/>
            <w:vAlign w:val="center"/>
          </w:tcPr>
          <w:p w:rsidR="000A7E4A" w:rsidRDefault="000A7E4A">
            <w:pPr>
              <w:widowControl w:val="0"/>
              <w:pBdr>
                <w:top w:val="nil"/>
                <w:left w:val="nil"/>
                <w:bottom w:val="nil"/>
                <w:right w:val="nil"/>
                <w:between w:val="nil"/>
              </w:pBdr>
              <w:spacing w:line="276" w:lineRule="auto"/>
              <w:rPr>
                <w:rFonts w:ascii="Times New Roman" w:eastAsia="Times New Roman" w:hAnsi="Times New Roman" w:cs="Times New Roman"/>
                <w:color w:val="000000"/>
                <w:sz w:val="20"/>
                <w:szCs w:val="20"/>
              </w:rPr>
            </w:pPr>
          </w:p>
        </w:tc>
        <w:tc>
          <w:tcPr>
            <w:tcW w:w="1413" w:type="dxa"/>
            <w:vMerge/>
            <w:tcBorders>
              <w:top w:val="nil"/>
              <w:left w:val="single" w:sz="8" w:space="0" w:color="000000"/>
              <w:bottom w:val="single" w:sz="4" w:space="0" w:color="000000"/>
              <w:right w:val="single" w:sz="8" w:space="0" w:color="000000"/>
            </w:tcBorders>
            <w:shd w:val="clear" w:color="auto" w:fill="auto"/>
            <w:vAlign w:val="center"/>
          </w:tcPr>
          <w:p w:rsidR="000A7E4A" w:rsidRDefault="000A7E4A">
            <w:pPr>
              <w:widowControl w:val="0"/>
              <w:pBdr>
                <w:top w:val="nil"/>
                <w:left w:val="nil"/>
                <w:bottom w:val="nil"/>
                <w:right w:val="nil"/>
                <w:between w:val="nil"/>
              </w:pBdr>
              <w:spacing w:line="276" w:lineRule="auto"/>
              <w:rPr>
                <w:rFonts w:ascii="Times New Roman" w:eastAsia="Times New Roman" w:hAnsi="Times New Roman" w:cs="Times New Roman"/>
                <w:color w:val="000000"/>
                <w:sz w:val="20"/>
                <w:szCs w:val="20"/>
              </w:rPr>
            </w:pPr>
          </w:p>
        </w:tc>
        <w:tc>
          <w:tcPr>
            <w:tcW w:w="1412" w:type="dxa"/>
            <w:vMerge/>
            <w:tcBorders>
              <w:top w:val="nil"/>
              <w:left w:val="single" w:sz="8" w:space="0" w:color="000000"/>
              <w:bottom w:val="single" w:sz="4" w:space="0" w:color="000000"/>
              <w:right w:val="single" w:sz="8" w:space="0" w:color="000000"/>
            </w:tcBorders>
            <w:shd w:val="clear" w:color="auto" w:fill="auto"/>
            <w:vAlign w:val="center"/>
          </w:tcPr>
          <w:p w:rsidR="000A7E4A" w:rsidRDefault="000A7E4A">
            <w:pPr>
              <w:widowControl w:val="0"/>
              <w:pBdr>
                <w:top w:val="nil"/>
                <w:left w:val="nil"/>
                <w:bottom w:val="nil"/>
                <w:right w:val="nil"/>
                <w:between w:val="nil"/>
              </w:pBdr>
              <w:spacing w:line="276" w:lineRule="auto"/>
              <w:rPr>
                <w:rFonts w:ascii="Times New Roman" w:eastAsia="Times New Roman" w:hAnsi="Times New Roman" w:cs="Times New Roman"/>
                <w:color w:val="000000"/>
                <w:sz w:val="20"/>
                <w:szCs w:val="20"/>
              </w:rPr>
            </w:pPr>
          </w:p>
        </w:tc>
        <w:tc>
          <w:tcPr>
            <w:tcW w:w="1271" w:type="dxa"/>
            <w:vMerge/>
            <w:tcBorders>
              <w:top w:val="nil"/>
              <w:left w:val="single" w:sz="8" w:space="0" w:color="000000"/>
              <w:bottom w:val="single" w:sz="4" w:space="0" w:color="000000"/>
              <w:right w:val="single" w:sz="8" w:space="0" w:color="000000"/>
            </w:tcBorders>
            <w:shd w:val="clear" w:color="auto" w:fill="auto"/>
            <w:vAlign w:val="center"/>
          </w:tcPr>
          <w:p w:rsidR="000A7E4A" w:rsidRDefault="000A7E4A">
            <w:pPr>
              <w:widowControl w:val="0"/>
              <w:pBdr>
                <w:top w:val="nil"/>
                <w:left w:val="nil"/>
                <w:bottom w:val="nil"/>
                <w:right w:val="nil"/>
                <w:between w:val="nil"/>
              </w:pBdr>
              <w:spacing w:line="276" w:lineRule="auto"/>
              <w:rPr>
                <w:rFonts w:ascii="Times New Roman" w:eastAsia="Times New Roman" w:hAnsi="Times New Roman" w:cs="Times New Roman"/>
                <w:color w:val="000000"/>
                <w:sz w:val="20"/>
                <w:szCs w:val="20"/>
              </w:rPr>
            </w:pPr>
          </w:p>
        </w:tc>
        <w:tc>
          <w:tcPr>
            <w:tcW w:w="1980" w:type="dxa"/>
            <w:tcBorders>
              <w:top w:val="nil"/>
              <w:left w:val="single" w:sz="4" w:space="0" w:color="000000"/>
              <w:bottom w:val="single" w:sz="4" w:space="0" w:color="000000"/>
              <w:right w:val="single" w:sz="4" w:space="0" w:color="000000"/>
            </w:tcBorders>
            <w:shd w:val="clear" w:color="auto" w:fill="auto"/>
            <w:vAlign w:val="center"/>
          </w:tcPr>
          <w:p w:rsidR="000A7E4A" w:rsidRDefault="000A7E4A">
            <w:pPr>
              <w:spacing w:line="240" w:lineRule="auto"/>
              <w:rPr>
                <w:rFonts w:ascii="Times New Roman" w:eastAsia="Times New Roman" w:hAnsi="Times New Roman" w:cs="Times New Roman"/>
                <w:color w:val="000000"/>
                <w:sz w:val="20"/>
                <w:szCs w:val="20"/>
              </w:rPr>
            </w:pPr>
          </w:p>
        </w:tc>
        <w:tc>
          <w:tcPr>
            <w:tcW w:w="1129" w:type="dxa"/>
            <w:vMerge/>
            <w:tcBorders>
              <w:top w:val="nil"/>
              <w:left w:val="single" w:sz="8" w:space="0" w:color="000000"/>
              <w:bottom w:val="single" w:sz="4" w:space="0" w:color="000000"/>
              <w:right w:val="single" w:sz="8" w:space="0" w:color="000000"/>
            </w:tcBorders>
            <w:shd w:val="clear" w:color="auto" w:fill="auto"/>
            <w:vAlign w:val="center"/>
          </w:tcPr>
          <w:p w:rsidR="000A7E4A" w:rsidRDefault="000A7E4A">
            <w:pPr>
              <w:widowControl w:val="0"/>
              <w:pBdr>
                <w:top w:val="nil"/>
                <w:left w:val="nil"/>
                <w:bottom w:val="nil"/>
                <w:right w:val="nil"/>
                <w:between w:val="nil"/>
              </w:pBdr>
              <w:spacing w:line="276" w:lineRule="auto"/>
              <w:rPr>
                <w:rFonts w:ascii="Times New Roman" w:eastAsia="Times New Roman" w:hAnsi="Times New Roman" w:cs="Times New Roman"/>
                <w:color w:val="000000"/>
                <w:sz w:val="20"/>
                <w:szCs w:val="20"/>
              </w:rPr>
            </w:pPr>
          </w:p>
        </w:tc>
        <w:tc>
          <w:tcPr>
            <w:tcW w:w="1129" w:type="dxa"/>
            <w:vMerge/>
            <w:tcBorders>
              <w:top w:val="nil"/>
              <w:left w:val="single" w:sz="8" w:space="0" w:color="000000"/>
              <w:bottom w:val="single" w:sz="4" w:space="0" w:color="000000"/>
              <w:right w:val="single" w:sz="8" w:space="0" w:color="000000"/>
            </w:tcBorders>
            <w:shd w:val="clear" w:color="auto" w:fill="auto"/>
            <w:vAlign w:val="center"/>
          </w:tcPr>
          <w:p w:rsidR="000A7E4A" w:rsidRDefault="000A7E4A">
            <w:pPr>
              <w:widowControl w:val="0"/>
              <w:pBdr>
                <w:top w:val="nil"/>
                <w:left w:val="nil"/>
                <w:bottom w:val="nil"/>
                <w:right w:val="nil"/>
                <w:between w:val="nil"/>
              </w:pBdr>
              <w:spacing w:line="276" w:lineRule="auto"/>
              <w:rPr>
                <w:rFonts w:ascii="Times New Roman" w:eastAsia="Times New Roman" w:hAnsi="Times New Roman" w:cs="Times New Roman"/>
                <w:color w:val="000000"/>
                <w:sz w:val="20"/>
                <w:szCs w:val="20"/>
              </w:rPr>
            </w:pPr>
          </w:p>
        </w:tc>
        <w:tc>
          <w:tcPr>
            <w:tcW w:w="982" w:type="dxa"/>
            <w:vMerge/>
            <w:tcBorders>
              <w:top w:val="nil"/>
              <w:left w:val="single" w:sz="8" w:space="0" w:color="000000"/>
              <w:bottom w:val="single" w:sz="4" w:space="0" w:color="000000"/>
              <w:right w:val="single" w:sz="8" w:space="0" w:color="000000"/>
            </w:tcBorders>
            <w:shd w:val="clear" w:color="auto" w:fill="auto"/>
            <w:vAlign w:val="center"/>
          </w:tcPr>
          <w:p w:rsidR="000A7E4A" w:rsidRDefault="000A7E4A">
            <w:pPr>
              <w:widowControl w:val="0"/>
              <w:pBdr>
                <w:top w:val="nil"/>
                <w:left w:val="nil"/>
                <w:bottom w:val="nil"/>
                <w:right w:val="nil"/>
                <w:between w:val="nil"/>
              </w:pBdr>
              <w:spacing w:line="276" w:lineRule="auto"/>
              <w:rPr>
                <w:rFonts w:ascii="Times New Roman" w:eastAsia="Times New Roman" w:hAnsi="Times New Roman" w:cs="Times New Roman"/>
                <w:color w:val="000000"/>
                <w:sz w:val="20"/>
                <w:szCs w:val="20"/>
              </w:rPr>
            </w:pPr>
          </w:p>
        </w:tc>
        <w:tc>
          <w:tcPr>
            <w:tcW w:w="1199" w:type="dxa"/>
            <w:vMerge/>
            <w:tcBorders>
              <w:top w:val="nil"/>
              <w:left w:val="single" w:sz="8" w:space="0" w:color="000000"/>
              <w:bottom w:val="single" w:sz="4" w:space="0" w:color="000000"/>
              <w:right w:val="single" w:sz="8" w:space="0" w:color="000000"/>
            </w:tcBorders>
            <w:shd w:val="clear" w:color="auto" w:fill="A9D08E"/>
            <w:vAlign w:val="center"/>
          </w:tcPr>
          <w:p w:rsidR="000A7E4A" w:rsidRDefault="000A7E4A">
            <w:pPr>
              <w:widowControl w:val="0"/>
              <w:pBdr>
                <w:top w:val="nil"/>
                <w:left w:val="nil"/>
                <w:bottom w:val="nil"/>
                <w:right w:val="nil"/>
                <w:between w:val="nil"/>
              </w:pBdr>
              <w:spacing w:line="276" w:lineRule="auto"/>
              <w:rPr>
                <w:rFonts w:ascii="Times New Roman" w:eastAsia="Times New Roman" w:hAnsi="Times New Roman" w:cs="Times New Roman"/>
                <w:color w:val="000000"/>
                <w:sz w:val="20"/>
                <w:szCs w:val="20"/>
              </w:rPr>
            </w:pPr>
          </w:p>
        </w:tc>
        <w:tc>
          <w:tcPr>
            <w:tcW w:w="704" w:type="dxa"/>
            <w:tcBorders>
              <w:top w:val="nil"/>
              <w:left w:val="nil"/>
              <w:bottom w:val="single" w:sz="4" w:space="0" w:color="000000"/>
              <w:right w:val="single" w:sz="4" w:space="0" w:color="000000"/>
            </w:tcBorders>
            <w:shd w:val="clear" w:color="auto" w:fill="auto"/>
            <w:vAlign w:val="center"/>
          </w:tcPr>
          <w:p w:rsidR="000A7E4A" w:rsidRDefault="000A7E4A">
            <w:pPr>
              <w:spacing w:line="240" w:lineRule="auto"/>
              <w:jc w:val="center"/>
              <w:rPr>
                <w:rFonts w:ascii="Times New Roman" w:eastAsia="Times New Roman" w:hAnsi="Times New Roman" w:cs="Times New Roman"/>
                <w:color w:val="000000"/>
                <w:sz w:val="20"/>
                <w:szCs w:val="20"/>
              </w:rPr>
            </w:pPr>
          </w:p>
        </w:tc>
        <w:tc>
          <w:tcPr>
            <w:tcW w:w="704" w:type="dxa"/>
            <w:tcBorders>
              <w:top w:val="single" w:sz="4" w:space="0" w:color="000000"/>
              <w:left w:val="single" w:sz="4" w:space="0" w:color="000000"/>
              <w:bottom w:val="single" w:sz="4" w:space="0" w:color="000000"/>
              <w:right w:val="single" w:sz="4" w:space="0" w:color="000000"/>
            </w:tcBorders>
          </w:tcPr>
          <w:p w:rsidR="000A7E4A" w:rsidRDefault="000A7E4A">
            <w:pPr>
              <w:spacing w:line="240" w:lineRule="auto"/>
              <w:jc w:val="center"/>
              <w:rPr>
                <w:rFonts w:ascii="Times New Roman" w:eastAsia="Times New Roman" w:hAnsi="Times New Roman" w:cs="Times New Roman"/>
                <w:color w:val="000000"/>
                <w:sz w:val="20"/>
                <w:szCs w:val="20"/>
              </w:rPr>
            </w:pPr>
          </w:p>
        </w:tc>
      </w:tr>
      <w:tr w:rsidR="000A7E4A">
        <w:trPr>
          <w:trHeight w:val="800"/>
        </w:trPr>
        <w:tc>
          <w:tcPr>
            <w:tcW w:w="1226" w:type="dxa"/>
            <w:vMerge/>
            <w:tcBorders>
              <w:top w:val="nil"/>
              <w:left w:val="single" w:sz="8" w:space="0" w:color="000000"/>
              <w:bottom w:val="single" w:sz="4" w:space="0" w:color="000000"/>
              <w:right w:val="single" w:sz="8" w:space="0" w:color="000000"/>
            </w:tcBorders>
            <w:shd w:val="clear" w:color="auto" w:fill="auto"/>
            <w:vAlign w:val="center"/>
          </w:tcPr>
          <w:p w:rsidR="000A7E4A" w:rsidRDefault="000A7E4A">
            <w:pPr>
              <w:widowControl w:val="0"/>
              <w:pBdr>
                <w:top w:val="nil"/>
                <w:left w:val="nil"/>
                <w:bottom w:val="nil"/>
                <w:right w:val="nil"/>
                <w:between w:val="nil"/>
              </w:pBdr>
              <w:spacing w:line="276" w:lineRule="auto"/>
              <w:rPr>
                <w:rFonts w:ascii="Times New Roman" w:eastAsia="Times New Roman" w:hAnsi="Times New Roman" w:cs="Times New Roman"/>
                <w:color w:val="000000"/>
                <w:sz w:val="20"/>
                <w:szCs w:val="20"/>
              </w:rPr>
            </w:pPr>
          </w:p>
        </w:tc>
        <w:tc>
          <w:tcPr>
            <w:tcW w:w="1554" w:type="dxa"/>
            <w:vMerge/>
            <w:tcBorders>
              <w:top w:val="nil"/>
              <w:left w:val="single" w:sz="8" w:space="0" w:color="000000"/>
              <w:bottom w:val="single" w:sz="4" w:space="0" w:color="000000"/>
              <w:right w:val="single" w:sz="8" w:space="0" w:color="000000"/>
            </w:tcBorders>
            <w:shd w:val="clear" w:color="auto" w:fill="auto"/>
            <w:vAlign w:val="center"/>
          </w:tcPr>
          <w:p w:rsidR="000A7E4A" w:rsidRDefault="000A7E4A">
            <w:pPr>
              <w:widowControl w:val="0"/>
              <w:pBdr>
                <w:top w:val="nil"/>
                <w:left w:val="nil"/>
                <w:bottom w:val="nil"/>
                <w:right w:val="nil"/>
                <w:between w:val="nil"/>
              </w:pBdr>
              <w:spacing w:line="276" w:lineRule="auto"/>
              <w:rPr>
                <w:rFonts w:ascii="Times New Roman" w:eastAsia="Times New Roman" w:hAnsi="Times New Roman" w:cs="Times New Roman"/>
                <w:color w:val="000000"/>
                <w:sz w:val="20"/>
                <w:szCs w:val="20"/>
              </w:rPr>
            </w:pPr>
          </w:p>
        </w:tc>
        <w:tc>
          <w:tcPr>
            <w:tcW w:w="1413" w:type="dxa"/>
            <w:vMerge/>
            <w:tcBorders>
              <w:top w:val="nil"/>
              <w:left w:val="single" w:sz="8" w:space="0" w:color="000000"/>
              <w:bottom w:val="single" w:sz="4" w:space="0" w:color="000000"/>
              <w:right w:val="single" w:sz="8" w:space="0" w:color="000000"/>
            </w:tcBorders>
            <w:shd w:val="clear" w:color="auto" w:fill="auto"/>
            <w:vAlign w:val="center"/>
          </w:tcPr>
          <w:p w:rsidR="000A7E4A" w:rsidRDefault="000A7E4A">
            <w:pPr>
              <w:widowControl w:val="0"/>
              <w:pBdr>
                <w:top w:val="nil"/>
                <w:left w:val="nil"/>
                <w:bottom w:val="nil"/>
                <w:right w:val="nil"/>
                <w:between w:val="nil"/>
              </w:pBdr>
              <w:spacing w:line="276" w:lineRule="auto"/>
              <w:rPr>
                <w:rFonts w:ascii="Times New Roman" w:eastAsia="Times New Roman" w:hAnsi="Times New Roman" w:cs="Times New Roman"/>
                <w:color w:val="000000"/>
                <w:sz w:val="20"/>
                <w:szCs w:val="20"/>
              </w:rPr>
            </w:pPr>
          </w:p>
        </w:tc>
        <w:tc>
          <w:tcPr>
            <w:tcW w:w="1412" w:type="dxa"/>
            <w:vMerge/>
            <w:tcBorders>
              <w:top w:val="nil"/>
              <w:left w:val="single" w:sz="8" w:space="0" w:color="000000"/>
              <w:bottom w:val="single" w:sz="4" w:space="0" w:color="000000"/>
              <w:right w:val="single" w:sz="8" w:space="0" w:color="000000"/>
            </w:tcBorders>
            <w:shd w:val="clear" w:color="auto" w:fill="auto"/>
            <w:vAlign w:val="center"/>
          </w:tcPr>
          <w:p w:rsidR="000A7E4A" w:rsidRDefault="000A7E4A">
            <w:pPr>
              <w:widowControl w:val="0"/>
              <w:pBdr>
                <w:top w:val="nil"/>
                <w:left w:val="nil"/>
                <w:bottom w:val="nil"/>
                <w:right w:val="nil"/>
                <w:between w:val="nil"/>
              </w:pBdr>
              <w:spacing w:line="276" w:lineRule="auto"/>
              <w:rPr>
                <w:rFonts w:ascii="Times New Roman" w:eastAsia="Times New Roman" w:hAnsi="Times New Roman" w:cs="Times New Roman"/>
                <w:color w:val="000000"/>
                <w:sz w:val="20"/>
                <w:szCs w:val="20"/>
              </w:rPr>
            </w:pPr>
          </w:p>
        </w:tc>
        <w:tc>
          <w:tcPr>
            <w:tcW w:w="1271" w:type="dxa"/>
            <w:vMerge/>
            <w:tcBorders>
              <w:top w:val="nil"/>
              <w:left w:val="single" w:sz="8" w:space="0" w:color="000000"/>
              <w:bottom w:val="single" w:sz="4" w:space="0" w:color="000000"/>
              <w:right w:val="single" w:sz="8" w:space="0" w:color="000000"/>
            </w:tcBorders>
            <w:shd w:val="clear" w:color="auto" w:fill="auto"/>
            <w:vAlign w:val="center"/>
          </w:tcPr>
          <w:p w:rsidR="000A7E4A" w:rsidRDefault="000A7E4A">
            <w:pPr>
              <w:widowControl w:val="0"/>
              <w:pBdr>
                <w:top w:val="nil"/>
                <w:left w:val="nil"/>
                <w:bottom w:val="nil"/>
                <w:right w:val="nil"/>
                <w:between w:val="nil"/>
              </w:pBdr>
              <w:spacing w:line="276" w:lineRule="auto"/>
              <w:rPr>
                <w:rFonts w:ascii="Times New Roman" w:eastAsia="Times New Roman" w:hAnsi="Times New Roman" w:cs="Times New Roman"/>
                <w:color w:val="000000"/>
                <w:sz w:val="20"/>
                <w:szCs w:val="20"/>
              </w:rPr>
            </w:pPr>
          </w:p>
        </w:tc>
        <w:tc>
          <w:tcPr>
            <w:tcW w:w="1980" w:type="dxa"/>
            <w:tcBorders>
              <w:top w:val="nil"/>
              <w:left w:val="single" w:sz="4" w:space="0" w:color="000000"/>
              <w:bottom w:val="single" w:sz="4" w:space="0" w:color="000000"/>
              <w:right w:val="single" w:sz="4" w:space="0" w:color="000000"/>
            </w:tcBorders>
            <w:shd w:val="clear" w:color="auto" w:fill="auto"/>
            <w:vAlign w:val="center"/>
          </w:tcPr>
          <w:p w:rsidR="000A7E4A" w:rsidRDefault="000A7E4A">
            <w:pPr>
              <w:spacing w:line="240" w:lineRule="auto"/>
              <w:rPr>
                <w:rFonts w:ascii="Times New Roman" w:eastAsia="Times New Roman" w:hAnsi="Times New Roman" w:cs="Times New Roman"/>
                <w:color w:val="000000"/>
                <w:sz w:val="20"/>
                <w:szCs w:val="20"/>
              </w:rPr>
            </w:pPr>
          </w:p>
        </w:tc>
        <w:tc>
          <w:tcPr>
            <w:tcW w:w="1129" w:type="dxa"/>
            <w:vMerge/>
            <w:tcBorders>
              <w:top w:val="nil"/>
              <w:left w:val="single" w:sz="8" w:space="0" w:color="000000"/>
              <w:bottom w:val="single" w:sz="4" w:space="0" w:color="000000"/>
              <w:right w:val="single" w:sz="8" w:space="0" w:color="000000"/>
            </w:tcBorders>
            <w:shd w:val="clear" w:color="auto" w:fill="auto"/>
            <w:vAlign w:val="center"/>
          </w:tcPr>
          <w:p w:rsidR="000A7E4A" w:rsidRDefault="000A7E4A">
            <w:pPr>
              <w:widowControl w:val="0"/>
              <w:pBdr>
                <w:top w:val="nil"/>
                <w:left w:val="nil"/>
                <w:bottom w:val="nil"/>
                <w:right w:val="nil"/>
                <w:between w:val="nil"/>
              </w:pBdr>
              <w:spacing w:line="276" w:lineRule="auto"/>
              <w:rPr>
                <w:rFonts w:ascii="Times New Roman" w:eastAsia="Times New Roman" w:hAnsi="Times New Roman" w:cs="Times New Roman"/>
                <w:color w:val="000000"/>
                <w:sz w:val="20"/>
                <w:szCs w:val="20"/>
              </w:rPr>
            </w:pPr>
          </w:p>
        </w:tc>
        <w:tc>
          <w:tcPr>
            <w:tcW w:w="1129" w:type="dxa"/>
            <w:vMerge/>
            <w:tcBorders>
              <w:top w:val="nil"/>
              <w:left w:val="single" w:sz="8" w:space="0" w:color="000000"/>
              <w:bottom w:val="single" w:sz="4" w:space="0" w:color="000000"/>
              <w:right w:val="single" w:sz="8" w:space="0" w:color="000000"/>
            </w:tcBorders>
            <w:shd w:val="clear" w:color="auto" w:fill="auto"/>
            <w:vAlign w:val="center"/>
          </w:tcPr>
          <w:p w:rsidR="000A7E4A" w:rsidRDefault="000A7E4A">
            <w:pPr>
              <w:widowControl w:val="0"/>
              <w:pBdr>
                <w:top w:val="nil"/>
                <w:left w:val="nil"/>
                <w:bottom w:val="nil"/>
                <w:right w:val="nil"/>
                <w:between w:val="nil"/>
              </w:pBdr>
              <w:spacing w:line="276" w:lineRule="auto"/>
              <w:rPr>
                <w:rFonts w:ascii="Times New Roman" w:eastAsia="Times New Roman" w:hAnsi="Times New Roman" w:cs="Times New Roman"/>
                <w:color w:val="000000"/>
                <w:sz w:val="20"/>
                <w:szCs w:val="20"/>
              </w:rPr>
            </w:pPr>
          </w:p>
        </w:tc>
        <w:tc>
          <w:tcPr>
            <w:tcW w:w="982" w:type="dxa"/>
            <w:vMerge/>
            <w:tcBorders>
              <w:top w:val="nil"/>
              <w:left w:val="single" w:sz="8" w:space="0" w:color="000000"/>
              <w:bottom w:val="single" w:sz="4" w:space="0" w:color="000000"/>
              <w:right w:val="single" w:sz="8" w:space="0" w:color="000000"/>
            </w:tcBorders>
            <w:shd w:val="clear" w:color="auto" w:fill="auto"/>
            <w:vAlign w:val="center"/>
          </w:tcPr>
          <w:p w:rsidR="000A7E4A" w:rsidRDefault="000A7E4A">
            <w:pPr>
              <w:widowControl w:val="0"/>
              <w:pBdr>
                <w:top w:val="nil"/>
                <w:left w:val="nil"/>
                <w:bottom w:val="nil"/>
                <w:right w:val="nil"/>
                <w:between w:val="nil"/>
              </w:pBdr>
              <w:spacing w:line="276" w:lineRule="auto"/>
              <w:rPr>
                <w:rFonts w:ascii="Times New Roman" w:eastAsia="Times New Roman" w:hAnsi="Times New Roman" w:cs="Times New Roman"/>
                <w:color w:val="000000"/>
                <w:sz w:val="20"/>
                <w:szCs w:val="20"/>
              </w:rPr>
            </w:pPr>
          </w:p>
        </w:tc>
        <w:tc>
          <w:tcPr>
            <w:tcW w:w="1199" w:type="dxa"/>
            <w:vMerge/>
            <w:tcBorders>
              <w:top w:val="nil"/>
              <w:left w:val="single" w:sz="8" w:space="0" w:color="000000"/>
              <w:bottom w:val="single" w:sz="4" w:space="0" w:color="000000"/>
              <w:right w:val="single" w:sz="8" w:space="0" w:color="000000"/>
            </w:tcBorders>
            <w:shd w:val="clear" w:color="auto" w:fill="A9D08E"/>
            <w:vAlign w:val="center"/>
          </w:tcPr>
          <w:p w:rsidR="000A7E4A" w:rsidRDefault="000A7E4A">
            <w:pPr>
              <w:widowControl w:val="0"/>
              <w:pBdr>
                <w:top w:val="nil"/>
                <w:left w:val="nil"/>
                <w:bottom w:val="nil"/>
                <w:right w:val="nil"/>
                <w:between w:val="nil"/>
              </w:pBdr>
              <w:spacing w:line="276" w:lineRule="auto"/>
              <w:rPr>
                <w:rFonts w:ascii="Times New Roman" w:eastAsia="Times New Roman" w:hAnsi="Times New Roman" w:cs="Times New Roman"/>
                <w:color w:val="000000"/>
                <w:sz w:val="20"/>
                <w:szCs w:val="20"/>
              </w:rPr>
            </w:pPr>
          </w:p>
        </w:tc>
        <w:tc>
          <w:tcPr>
            <w:tcW w:w="704" w:type="dxa"/>
            <w:tcBorders>
              <w:top w:val="nil"/>
              <w:left w:val="nil"/>
              <w:bottom w:val="single" w:sz="4" w:space="0" w:color="000000"/>
              <w:right w:val="single" w:sz="4" w:space="0" w:color="000000"/>
            </w:tcBorders>
            <w:shd w:val="clear" w:color="auto" w:fill="auto"/>
            <w:vAlign w:val="center"/>
          </w:tcPr>
          <w:p w:rsidR="000A7E4A" w:rsidRDefault="000A7E4A">
            <w:pPr>
              <w:spacing w:line="240" w:lineRule="auto"/>
              <w:jc w:val="center"/>
              <w:rPr>
                <w:rFonts w:ascii="Times New Roman" w:eastAsia="Times New Roman" w:hAnsi="Times New Roman" w:cs="Times New Roman"/>
                <w:color w:val="000000"/>
                <w:sz w:val="20"/>
                <w:szCs w:val="20"/>
              </w:rPr>
            </w:pPr>
          </w:p>
        </w:tc>
        <w:tc>
          <w:tcPr>
            <w:tcW w:w="704" w:type="dxa"/>
            <w:tcBorders>
              <w:top w:val="single" w:sz="4" w:space="0" w:color="000000"/>
              <w:left w:val="single" w:sz="4" w:space="0" w:color="000000"/>
              <w:bottom w:val="single" w:sz="4" w:space="0" w:color="000000"/>
              <w:right w:val="single" w:sz="4" w:space="0" w:color="000000"/>
            </w:tcBorders>
          </w:tcPr>
          <w:p w:rsidR="000A7E4A" w:rsidRDefault="000A7E4A">
            <w:pPr>
              <w:spacing w:line="240" w:lineRule="auto"/>
              <w:jc w:val="center"/>
              <w:rPr>
                <w:rFonts w:ascii="Times New Roman" w:eastAsia="Times New Roman" w:hAnsi="Times New Roman" w:cs="Times New Roman"/>
                <w:color w:val="000000"/>
                <w:sz w:val="20"/>
                <w:szCs w:val="20"/>
              </w:rPr>
            </w:pPr>
          </w:p>
        </w:tc>
      </w:tr>
      <w:tr w:rsidR="000A7E4A">
        <w:trPr>
          <w:trHeight w:val="760"/>
        </w:trPr>
        <w:tc>
          <w:tcPr>
            <w:tcW w:w="1226" w:type="dxa"/>
            <w:vMerge/>
            <w:tcBorders>
              <w:top w:val="nil"/>
              <w:left w:val="single" w:sz="8" w:space="0" w:color="000000"/>
              <w:bottom w:val="single" w:sz="4" w:space="0" w:color="000000"/>
              <w:right w:val="single" w:sz="8" w:space="0" w:color="000000"/>
            </w:tcBorders>
            <w:shd w:val="clear" w:color="auto" w:fill="auto"/>
            <w:vAlign w:val="center"/>
          </w:tcPr>
          <w:p w:rsidR="000A7E4A" w:rsidRDefault="000A7E4A">
            <w:pPr>
              <w:widowControl w:val="0"/>
              <w:pBdr>
                <w:top w:val="nil"/>
                <w:left w:val="nil"/>
                <w:bottom w:val="nil"/>
                <w:right w:val="nil"/>
                <w:between w:val="nil"/>
              </w:pBdr>
              <w:spacing w:line="276" w:lineRule="auto"/>
              <w:rPr>
                <w:rFonts w:ascii="Times New Roman" w:eastAsia="Times New Roman" w:hAnsi="Times New Roman" w:cs="Times New Roman"/>
                <w:color w:val="000000"/>
                <w:sz w:val="20"/>
                <w:szCs w:val="20"/>
              </w:rPr>
            </w:pPr>
          </w:p>
        </w:tc>
        <w:tc>
          <w:tcPr>
            <w:tcW w:w="1554" w:type="dxa"/>
            <w:vMerge/>
            <w:tcBorders>
              <w:top w:val="nil"/>
              <w:left w:val="single" w:sz="8" w:space="0" w:color="000000"/>
              <w:bottom w:val="single" w:sz="4" w:space="0" w:color="000000"/>
              <w:right w:val="single" w:sz="8" w:space="0" w:color="000000"/>
            </w:tcBorders>
            <w:shd w:val="clear" w:color="auto" w:fill="auto"/>
            <w:vAlign w:val="center"/>
          </w:tcPr>
          <w:p w:rsidR="000A7E4A" w:rsidRDefault="000A7E4A">
            <w:pPr>
              <w:widowControl w:val="0"/>
              <w:pBdr>
                <w:top w:val="nil"/>
                <w:left w:val="nil"/>
                <w:bottom w:val="nil"/>
                <w:right w:val="nil"/>
                <w:between w:val="nil"/>
              </w:pBdr>
              <w:spacing w:line="276" w:lineRule="auto"/>
              <w:rPr>
                <w:rFonts w:ascii="Times New Roman" w:eastAsia="Times New Roman" w:hAnsi="Times New Roman" w:cs="Times New Roman"/>
                <w:color w:val="000000"/>
                <w:sz w:val="20"/>
                <w:szCs w:val="20"/>
              </w:rPr>
            </w:pPr>
          </w:p>
        </w:tc>
        <w:tc>
          <w:tcPr>
            <w:tcW w:w="1413" w:type="dxa"/>
            <w:vMerge/>
            <w:tcBorders>
              <w:top w:val="nil"/>
              <w:left w:val="single" w:sz="8" w:space="0" w:color="000000"/>
              <w:bottom w:val="single" w:sz="4" w:space="0" w:color="000000"/>
              <w:right w:val="single" w:sz="8" w:space="0" w:color="000000"/>
            </w:tcBorders>
            <w:shd w:val="clear" w:color="auto" w:fill="auto"/>
            <w:vAlign w:val="center"/>
          </w:tcPr>
          <w:p w:rsidR="000A7E4A" w:rsidRDefault="000A7E4A">
            <w:pPr>
              <w:widowControl w:val="0"/>
              <w:pBdr>
                <w:top w:val="nil"/>
                <w:left w:val="nil"/>
                <w:bottom w:val="nil"/>
                <w:right w:val="nil"/>
                <w:between w:val="nil"/>
              </w:pBdr>
              <w:spacing w:line="276" w:lineRule="auto"/>
              <w:rPr>
                <w:rFonts w:ascii="Times New Roman" w:eastAsia="Times New Roman" w:hAnsi="Times New Roman" w:cs="Times New Roman"/>
                <w:color w:val="000000"/>
                <w:sz w:val="20"/>
                <w:szCs w:val="20"/>
              </w:rPr>
            </w:pPr>
          </w:p>
        </w:tc>
        <w:tc>
          <w:tcPr>
            <w:tcW w:w="1412" w:type="dxa"/>
            <w:vMerge/>
            <w:tcBorders>
              <w:top w:val="nil"/>
              <w:left w:val="single" w:sz="8" w:space="0" w:color="000000"/>
              <w:bottom w:val="single" w:sz="4" w:space="0" w:color="000000"/>
              <w:right w:val="single" w:sz="8" w:space="0" w:color="000000"/>
            </w:tcBorders>
            <w:shd w:val="clear" w:color="auto" w:fill="auto"/>
            <w:vAlign w:val="center"/>
          </w:tcPr>
          <w:p w:rsidR="000A7E4A" w:rsidRDefault="000A7E4A">
            <w:pPr>
              <w:widowControl w:val="0"/>
              <w:pBdr>
                <w:top w:val="nil"/>
                <w:left w:val="nil"/>
                <w:bottom w:val="nil"/>
                <w:right w:val="nil"/>
                <w:between w:val="nil"/>
              </w:pBdr>
              <w:spacing w:line="276" w:lineRule="auto"/>
              <w:rPr>
                <w:rFonts w:ascii="Times New Roman" w:eastAsia="Times New Roman" w:hAnsi="Times New Roman" w:cs="Times New Roman"/>
                <w:color w:val="000000"/>
                <w:sz w:val="20"/>
                <w:szCs w:val="20"/>
              </w:rPr>
            </w:pPr>
          </w:p>
        </w:tc>
        <w:tc>
          <w:tcPr>
            <w:tcW w:w="1271" w:type="dxa"/>
            <w:vMerge/>
            <w:tcBorders>
              <w:top w:val="nil"/>
              <w:left w:val="single" w:sz="8" w:space="0" w:color="000000"/>
              <w:bottom w:val="single" w:sz="4" w:space="0" w:color="000000"/>
              <w:right w:val="single" w:sz="8" w:space="0" w:color="000000"/>
            </w:tcBorders>
            <w:shd w:val="clear" w:color="auto" w:fill="auto"/>
            <w:vAlign w:val="center"/>
          </w:tcPr>
          <w:p w:rsidR="000A7E4A" w:rsidRDefault="000A7E4A">
            <w:pPr>
              <w:widowControl w:val="0"/>
              <w:pBdr>
                <w:top w:val="nil"/>
                <w:left w:val="nil"/>
                <w:bottom w:val="nil"/>
                <w:right w:val="nil"/>
                <w:between w:val="nil"/>
              </w:pBdr>
              <w:spacing w:line="276" w:lineRule="auto"/>
              <w:rPr>
                <w:rFonts w:ascii="Times New Roman" w:eastAsia="Times New Roman" w:hAnsi="Times New Roman" w:cs="Times New Roman"/>
                <w:color w:val="000000"/>
                <w:sz w:val="20"/>
                <w:szCs w:val="20"/>
              </w:rPr>
            </w:pPr>
          </w:p>
        </w:tc>
        <w:tc>
          <w:tcPr>
            <w:tcW w:w="1980" w:type="dxa"/>
            <w:tcBorders>
              <w:top w:val="nil"/>
              <w:left w:val="single" w:sz="4" w:space="0" w:color="000000"/>
              <w:bottom w:val="single" w:sz="4" w:space="0" w:color="000000"/>
              <w:right w:val="single" w:sz="4" w:space="0" w:color="000000"/>
            </w:tcBorders>
            <w:shd w:val="clear" w:color="auto" w:fill="auto"/>
            <w:vAlign w:val="center"/>
          </w:tcPr>
          <w:p w:rsidR="000A7E4A" w:rsidRDefault="0029199E">
            <w:pPr>
              <w:spacing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3.c. Exchange of experiences and knowledge between youth and leaders of CIEA and CECU on the organizational roles and responsabilities.</w:t>
            </w:r>
          </w:p>
        </w:tc>
        <w:tc>
          <w:tcPr>
            <w:tcW w:w="1129" w:type="dxa"/>
            <w:vMerge/>
            <w:tcBorders>
              <w:top w:val="nil"/>
              <w:left w:val="single" w:sz="8" w:space="0" w:color="000000"/>
              <w:bottom w:val="single" w:sz="4" w:space="0" w:color="000000"/>
              <w:right w:val="single" w:sz="8" w:space="0" w:color="000000"/>
            </w:tcBorders>
            <w:shd w:val="clear" w:color="auto" w:fill="auto"/>
            <w:vAlign w:val="center"/>
          </w:tcPr>
          <w:p w:rsidR="000A7E4A" w:rsidRDefault="000A7E4A">
            <w:pPr>
              <w:widowControl w:val="0"/>
              <w:pBdr>
                <w:top w:val="nil"/>
                <w:left w:val="nil"/>
                <w:bottom w:val="nil"/>
                <w:right w:val="nil"/>
                <w:between w:val="nil"/>
              </w:pBdr>
              <w:spacing w:line="276" w:lineRule="auto"/>
              <w:rPr>
                <w:rFonts w:ascii="Times New Roman" w:eastAsia="Times New Roman" w:hAnsi="Times New Roman" w:cs="Times New Roman"/>
                <w:color w:val="000000"/>
                <w:sz w:val="20"/>
                <w:szCs w:val="20"/>
              </w:rPr>
            </w:pPr>
          </w:p>
        </w:tc>
        <w:tc>
          <w:tcPr>
            <w:tcW w:w="1129" w:type="dxa"/>
            <w:vMerge/>
            <w:tcBorders>
              <w:top w:val="nil"/>
              <w:left w:val="single" w:sz="8" w:space="0" w:color="000000"/>
              <w:bottom w:val="single" w:sz="4" w:space="0" w:color="000000"/>
              <w:right w:val="single" w:sz="8" w:space="0" w:color="000000"/>
            </w:tcBorders>
            <w:shd w:val="clear" w:color="auto" w:fill="auto"/>
            <w:vAlign w:val="center"/>
          </w:tcPr>
          <w:p w:rsidR="000A7E4A" w:rsidRDefault="000A7E4A">
            <w:pPr>
              <w:widowControl w:val="0"/>
              <w:pBdr>
                <w:top w:val="nil"/>
                <w:left w:val="nil"/>
                <w:bottom w:val="nil"/>
                <w:right w:val="nil"/>
                <w:between w:val="nil"/>
              </w:pBdr>
              <w:spacing w:line="276" w:lineRule="auto"/>
              <w:rPr>
                <w:rFonts w:ascii="Times New Roman" w:eastAsia="Times New Roman" w:hAnsi="Times New Roman" w:cs="Times New Roman"/>
                <w:color w:val="000000"/>
                <w:sz w:val="20"/>
                <w:szCs w:val="20"/>
              </w:rPr>
            </w:pPr>
          </w:p>
        </w:tc>
        <w:tc>
          <w:tcPr>
            <w:tcW w:w="982" w:type="dxa"/>
            <w:vMerge/>
            <w:tcBorders>
              <w:top w:val="nil"/>
              <w:left w:val="single" w:sz="8" w:space="0" w:color="000000"/>
              <w:bottom w:val="single" w:sz="4" w:space="0" w:color="000000"/>
              <w:right w:val="single" w:sz="8" w:space="0" w:color="000000"/>
            </w:tcBorders>
            <w:shd w:val="clear" w:color="auto" w:fill="auto"/>
            <w:vAlign w:val="center"/>
          </w:tcPr>
          <w:p w:rsidR="000A7E4A" w:rsidRDefault="000A7E4A">
            <w:pPr>
              <w:widowControl w:val="0"/>
              <w:pBdr>
                <w:top w:val="nil"/>
                <w:left w:val="nil"/>
                <w:bottom w:val="nil"/>
                <w:right w:val="nil"/>
                <w:between w:val="nil"/>
              </w:pBdr>
              <w:spacing w:line="276" w:lineRule="auto"/>
              <w:rPr>
                <w:rFonts w:ascii="Times New Roman" w:eastAsia="Times New Roman" w:hAnsi="Times New Roman" w:cs="Times New Roman"/>
                <w:color w:val="000000"/>
                <w:sz w:val="20"/>
                <w:szCs w:val="20"/>
              </w:rPr>
            </w:pPr>
          </w:p>
        </w:tc>
        <w:tc>
          <w:tcPr>
            <w:tcW w:w="1199" w:type="dxa"/>
            <w:vMerge/>
            <w:tcBorders>
              <w:top w:val="nil"/>
              <w:left w:val="single" w:sz="8" w:space="0" w:color="000000"/>
              <w:bottom w:val="single" w:sz="4" w:space="0" w:color="000000"/>
              <w:right w:val="single" w:sz="8" w:space="0" w:color="000000"/>
            </w:tcBorders>
            <w:shd w:val="clear" w:color="auto" w:fill="A9D08E"/>
            <w:vAlign w:val="center"/>
          </w:tcPr>
          <w:p w:rsidR="000A7E4A" w:rsidRDefault="000A7E4A">
            <w:pPr>
              <w:widowControl w:val="0"/>
              <w:pBdr>
                <w:top w:val="nil"/>
                <w:left w:val="nil"/>
                <w:bottom w:val="nil"/>
                <w:right w:val="nil"/>
                <w:between w:val="nil"/>
              </w:pBdr>
              <w:spacing w:line="276" w:lineRule="auto"/>
              <w:rPr>
                <w:rFonts w:ascii="Times New Roman" w:eastAsia="Times New Roman" w:hAnsi="Times New Roman" w:cs="Times New Roman"/>
                <w:color w:val="000000"/>
                <w:sz w:val="20"/>
                <w:szCs w:val="20"/>
              </w:rPr>
            </w:pPr>
          </w:p>
        </w:tc>
        <w:tc>
          <w:tcPr>
            <w:tcW w:w="704" w:type="dxa"/>
            <w:tcBorders>
              <w:top w:val="nil"/>
              <w:left w:val="nil"/>
              <w:bottom w:val="single" w:sz="4" w:space="0" w:color="000000"/>
              <w:right w:val="single" w:sz="4" w:space="0" w:color="000000"/>
            </w:tcBorders>
            <w:shd w:val="clear" w:color="auto" w:fill="auto"/>
            <w:vAlign w:val="center"/>
          </w:tcPr>
          <w:p w:rsidR="000A7E4A" w:rsidRDefault="0029199E">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2020</w:t>
            </w:r>
          </w:p>
        </w:tc>
        <w:tc>
          <w:tcPr>
            <w:tcW w:w="704" w:type="dxa"/>
            <w:tcBorders>
              <w:top w:val="single" w:sz="4" w:space="0" w:color="000000"/>
              <w:left w:val="single" w:sz="4" w:space="0" w:color="000000"/>
              <w:bottom w:val="single" w:sz="4" w:space="0" w:color="000000"/>
              <w:right w:val="single" w:sz="4" w:space="0" w:color="000000"/>
            </w:tcBorders>
          </w:tcPr>
          <w:p w:rsidR="000A7E4A" w:rsidRDefault="0029199E">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r>
      <w:tr w:rsidR="000A7E4A">
        <w:trPr>
          <w:trHeight w:val="1000"/>
        </w:trPr>
        <w:tc>
          <w:tcPr>
            <w:tcW w:w="1226" w:type="dxa"/>
            <w:vMerge w:val="restart"/>
            <w:tcBorders>
              <w:top w:val="nil"/>
              <w:left w:val="single" w:sz="8" w:space="0" w:color="000000"/>
              <w:bottom w:val="single" w:sz="4" w:space="0" w:color="000000"/>
              <w:right w:val="single" w:sz="8" w:space="0" w:color="000000"/>
            </w:tcBorders>
            <w:shd w:val="clear" w:color="auto" w:fill="auto"/>
            <w:vAlign w:val="center"/>
          </w:tcPr>
          <w:p w:rsidR="000A7E4A" w:rsidRDefault="0029199E">
            <w:pPr>
              <w:spacing w:line="240" w:lineRule="auto"/>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 AIFG, OFCs and other producer organisations are well organised and have the technical and political capacities to represent their interests towards public, private, and civil actors</w:t>
            </w:r>
          </w:p>
        </w:tc>
        <w:tc>
          <w:tcPr>
            <w:tcW w:w="1554" w:type="dxa"/>
            <w:vMerge w:val="restart"/>
            <w:tcBorders>
              <w:top w:val="nil"/>
              <w:left w:val="single" w:sz="8" w:space="0" w:color="000000"/>
              <w:bottom w:val="single" w:sz="4" w:space="0" w:color="000000"/>
              <w:right w:val="single" w:sz="8" w:space="0" w:color="000000"/>
            </w:tcBorders>
            <w:shd w:val="clear" w:color="auto" w:fill="auto"/>
            <w:vAlign w:val="center"/>
          </w:tcPr>
          <w:p w:rsidR="000A7E4A" w:rsidRDefault="0029199E">
            <w:pPr>
              <w:spacing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4.1. AFIG, OFCs and other producer organisations are well organised and have the technical and political capacities  and the means to represent their interests towards public, private, and civil actors</w:t>
            </w:r>
          </w:p>
        </w:tc>
        <w:tc>
          <w:tcPr>
            <w:tcW w:w="1413" w:type="dxa"/>
            <w:vMerge w:val="restart"/>
            <w:tcBorders>
              <w:top w:val="nil"/>
              <w:left w:val="single" w:sz="8" w:space="0" w:color="000000"/>
              <w:bottom w:val="single" w:sz="4" w:space="0" w:color="000000"/>
              <w:right w:val="single" w:sz="8" w:space="0" w:color="000000"/>
            </w:tcBorders>
            <w:shd w:val="clear" w:color="auto" w:fill="auto"/>
            <w:vAlign w:val="center"/>
          </w:tcPr>
          <w:p w:rsidR="000A7E4A" w:rsidRDefault="0029199E">
            <w:pPr>
              <w:spacing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4.4. AFIG, OFCs and other producer organisations hace very limited technical capacities regarding their forest management plans.</w:t>
            </w:r>
          </w:p>
        </w:tc>
        <w:tc>
          <w:tcPr>
            <w:tcW w:w="1412" w:type="dxa"/>
            <w:vMerge w:val="restart"/>
            <w:tcBorders>
              <w:top w:val="nil"/>
              <w:left w:val="single" w:sz="8" w:space="0" w:color="000000"/>
              <w:bottom w:val="single" w:sz="4" w:space="0" w:color="000000"/>
              <w:right w:val="single" w:sz="8" w:space="0" w:color="000000"/>
            </w:tcBorders>
            <w:shd w:val="clear" w:color="auto" w:fill="auto"/>
            <w:vAlign w:val="center"/>
          </w:tcPr>
          <w:p w:rsidR="000A7E4A" w:rsidRDefault="0029199E">
            <w:pPr>
              <w:spacing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4.3. AFIG, OFCs and other producer organisations (including those created by women) have improved their organizational capacities regarding their forest management plans and operations.</w:t>
            </w:r>
          </w:p>
        </w:tc>
        <w:tc>
          <w:tcPr>
            <w:tcW w:w="1271" w:type="dxa"/>
            <w:vMerge w:val="restart"/>
            <w:tcBorders>
              <w:top w:val="nil"/>
              <w:left w:val="single" w:sz="8" w:space="0" w:color="000000"/>
              <w:bottom w:val="single" w:sz="4" w:space="0" w:color="000000"/>
              <w:right w:val="single" w:sz="8" w:space="0" w:color="000000"/>
            </w:tcBorders>
            <w:shd w:val="clear" w:color="auto" w:fill="auto"/>
            <w:vAlign w:val="center"/>
          </w:tcPr>
          <w:p w:rsidR="000A7E4A" w:rsidRPr="00C705E6" w:rsidRDefault="0029199E">
            <w:pPr>
              <w:spacing w:line="240" w:lineRule="auto"/>
              <w:rPr>
                <w:rFonts w:ascii="Times New Roman" w:eastAsia="Times New Roman" w:hAnsi="Times New Roman" w:cs="Times New Roman"/>
                <w:color w:val="000000"/>
                <w:sz w:val="20"/>
                <w:szCs w:val="20"/>
                <w:lang w:val="es-BO"/>
              </w:rPr>
            </w:pPr>
            <w:r w:rsidRPr="00C705E6">
              <w:rPr>
                <w:rFonts w:ascii="Times New Roman" w:eastAsia="Times New Roman" w:hAnsi="Times New Roman" w:cs="Times New Roman"/>
                <w:color w:val="000000"/>
                <w:sz w:val="20"/>
                <w:szCs w:val="20"/>
                <w:lang w:val="es-BO"/>
              </w:rPr>
              <w:t>AISU (132 thousand ha), OFC San Juan (69 thousand ha), OFC Ascención (15 thousand ha), OFC Nueva Bolivia (61.400 ha), OFC Agwara (31 thousand ha)</w:t>
            </w:r>
          </w:p>
        </w:tc>
        <w:tc>
          <w:tcPr>
            <w:tcW w:w="1980" w:type="dxa"/>
            <w:tcBorders>
              <w:top w:val="nil"/>
              <w:left w:val="single" w:sz="4" w:space="0" w:color="000000"/>
              <w:bottom w:val="single" w:sz="4" w:space="0" w:color="000000"/>
              <w:right w:val="single" w:sz="4" w:space="0" w:color="000000"/>
            </w:tcBorders>
            <w:shd w:val="clear" w:color="auto" w:fill="auto"/>
            <w:vAlign w:val="center"/>
          </w:tcPr>
          <w:p w:rsidR="000A7E4A" w:rsidRPr="00750F3B" w:rsidRDefault="0029199E" w:rsidP="0029199E">
            <w:pPr>
              <w:spacing w:line="240" w:lineRule="auto"/>
              <w:rPr>
                <w:rFonts w:ascii="Times New Roman" w:eastAsia="Times New Roman" w:hAnsi="Times New Roman" w:cs="Times New Roman"/>
                <w:color w:val="000000"/>
                <w:sz w:val="20"/>
                <w:szCs w:val="20"/>
                <w:highlight w:val="yellow"/>
              </w:rPr>
            </w:pPr>
            <w:r w:rsidRPr="00750F3B">
              <w:rPr>
                <w:rFonts w:ascii="Times New Roman" w:eastAsia="Times New Roman" w:hAnsi="Times New Roman" w:cs="Times New Roman"/>
                <w:color w:val="000000"/>
                <w:sz w:val="20"/>
                <w:szCs w:val="20"/>
                <w:highlight w:val="yellow"/>
              </w:rPr>
              <w:t xml:space="preserve">4.a. Training program implemented in community forests in commercialization, organization, and administration of resources improves capacities. </w:t>
            </w:r>
          </w:p>
        </w:tc>
        <w:tc>
          <w:tcPr>
            <w:tcW w:w="1129" w:type="dxa"/>
            <w:vMerge w:val="restart"/>
            <w:tcBorders>
              <w:top w:val="nil"/>
              <w:left w:val="single" w:sz="8" w:space="0" w:color="000000"/>
              <w:bottom w:val="single" w:sz="4" w:space="0" w:color="000000"/>
              <w:right w:val="single" w:sz="8" w:space="0" w:color="000000"/>
            </w:tcBorders>
            <w:shd w:val="clear" w:color="auto" w:fill="auto"/>
            <w:vAlign w:val="center"/>
          </w:tcPr>
          <w:p w:rsidR="000A7E4A" w:rsidRPr="0029199E" w:rsidRDefault="0029199E">
            <w:pPr>
              <w:spacing w:line="240" w:lineRule="auto"/>
              <w:rPr>
                <w:rFonts w:ascii="Times New Roman" w:eastAsia="Times New Roman" w:hAnsi="Times New Roman" w:cs="Times New Roman"/>
                <w:color w:val="000000"/>
                <w:sz w:val="20"/>
                <w:szCs w:val="20"/>
                <w:lang w:val="es-BO"/>
              </w:rPr>
            </w:pPr>
            <w:r w:rsidRPr="0029199E">
              <w:rPr>
                <w:rFonts w:ascii="Times New Roman" w:eastAsia="Times New Roman" w:hAnsi="Times New Roman" w:cs="Times New Roman"/>
                <w:color w:val="000000"/>
                <w:sz w:val="20"/>
                <w:szCs w:val="20"/>
              </w:rPr>
              <w:t> </w:t>
            </w:r>
            <w:r w:rsidRPr="0029199E">
              <w:rPr>
                <w:rFonts w:ascii="Times New Roman" w:eastAsia="Times New Roman" w:hAnsi="Times New Roman" w:cs="Times New Roman"/>
                <w:color w:val="000000"/>
                <w:sz w:val="20"/>
                <w:szCs w:val="20"/>
                <w:lang w:val="es-BO"/>
              </w:rPr>
              <w:t>AISU, OFC San Juan, OFC Ascención,</w:t>
            </w:r>
          </w:p>
        </w:tc>
        <w:tc>
          <w:tcPr>
            <w:tcW w:w="1129" w:type="dxa"/>
            <w:vMerge w:val="restart"/>
            <w:tcBorders>
              <w:top w:val="nil"/>
              <w:left w:val="single" w:sz="8" w:space="0" w:color="000000"/>
              <w:bottom w:val="single" w:sz="4" w:space="0" w:color="000000"/>
              <w:right w:val="single" w:sz="8" w:space="0" w:color="000000"/>
            </w:tcBorders>
            <w:shd w:val="clear" w:color="auto" w:fill="auto"/>
            <w:vAlign w:val="center"/>
          </w:tcPr>
          <w:p w:rsidR="000A7E4A" w:rsidRDefault="0029199E">
            <w:pPr>
              <w:spacing w:line="240" w:lineRule="auto"/>
              <w:rPr>
                <w:rFonts w:ascii="Times New Roman" w:eastAsia="Times New Roman" w:hAnsi="Times New Roman" w:cs="Times New Roman"/>
                <w:sz w:val="20"/>
                <w:szCs w:val="20"/>
              </w:rPr>
            </w:pPr>
            <w:r w:rsidRPr="00246FC8">
              <w:rPr>
                <w:rFonts w:ascii="Times New Roman" w:eastAsia="Times New Roman" w:hAnsi="Times New Roman" w:cs="Times New Roman"/>
                <w:color w:val="000000"/>
                <w:sz w:val="20"/>
                <w:szCs w:val="20"/>
                <w:lang w:val="es-BO"/>
              </w:rPr>
              <w:t> </w:t>
            </w:r>
            <w:r w:rsidR="001E3D64">
              <w:rPr>
                <w:rFonts w:ascii="Times New Roman" w:eastAsia="Times New Roman" w:hAnsi="Times New Roman" w:cs="Times New Roman"/>
                <w:color w:val="000000"/>
                <w:sz w:val="20"/>
                <w:szCs w:val="20"/>
              </w:rPr>
              <w:t xml:space="preserve">E. </w:t>
            </w:r>
            <w:r>
              <w:rPr>
                <w:rFonts w:ascii="Times New Roman" w:eastAsia="Times New Roman" w:hAnsi="Times New Roman" w:cs="Times New Roman"/>
                <w:sz w:val="20"/>
                <w:szCs w:val="20"/>
              </w:rPr>
              <w:t>Intervention informed by an in depth analysis of gender and age differences and how to advance gender and youth equality.</w:t>
            </w:r>
          </w:p>
          <w:p w:rsidR="0029199E" w:rsidRDefault="0029199E">
            <w:pPr>
              <w:spacing w:line="240" w:lineRule="auto"/>
              <w:rPr>
                <w:rFonts w:ascii="Times New Roman" w:eastAsia="Times New Roman" w:hAnsi="Times New Roman" w:cs="Times New Roman"/>
                <w:sz w:val="20"/>
                <w:szCs w:val="20"/>
              </w:rPr>
            </w:pPr>
          </w:p>
          <w:p w:rsidR="0029199E" w:rsidRPr="0029199E" w:rsidRDefault="001E3D64">
            <w:pPr>
              <w:spacing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 xml:space="preserve">C. </w:t>
            </w:r>
            <w:r w:rsidR="0029199E">
              <w:rPr>
                <w:rFonts w:ascii="Times New Roman" w:eastAsia="Times New Roman" w:hAnsi="Times New Roman" w:cs="Times New Roman"/>
                <w:sz w:val="20"/>
                <w:szCs w:val="20"/>
              </w:rPr>
              <w:t>Ensure meaningful participation of women and youth.</w:t>
            </w:r>
          </w:p>
        </w:tc>
        <w:tc>
          <w:tcPr>
            <w:tcW w:w="982" w:type="dxa"/>
            <w:vMerge w:val="restart"/>
            <w:tcBorders>
              <w:top w:val="nil"/>
              <w:left w:val="single" w:sz="8" w:space="0" w:color="000000"/>
              <w:bottom w:val="single" w:sz="4" w:space="0" w:color="000000"/>
              <w:right w:val="single" w:sz="8" w:space="0" w:color="000000"/>
            </w:tcBorders>
            <w:shd w:val="clear" w:color="auto" w:fill="auto"/>
            <w:vAlign w:val="center"/>
          </w:tcPr>
          <w:p w:rsidR="000A7E4A" w:rsidRDefault="0029199E">
            <w:pPr>
              <w:spacing w:line="240" w:lineRule="auto"/>
              <w:rPr>
                <w:rFonts w:ascii="Times New Roman" w:eastAsia="Times New Roman" w:hAnsi="Times New Roman" w:cs="Times New Roman"/>
                <w:color w:val="000000"/>
                <w:sz w:val="20"/>
                <w:szCs w:val="20"/>
              </w:rPr>
            </w:pPr>
            <w:r w:rsidRPr="0029199E">
              <w:rPr>
                <w:rFonts w:ascii="Times New Roman" w:eastAsia="Times New Roman" w:hAnsi="Times New Roman" w:cs="Times New Roman"/>
                <w:color w:val="000000"/>
                <w:sz w:val="20"/>
                <w:szCs w:val="20"/>
              </w:rPr>
              <w:t> </w:t>
            </w:r>
            <w:r>
              <w:rPr>
                <w:rFonts w:ascii="Times New Roman" w:eastAsia="Times New Roman" w:hAnsi="Times New Roman" w:cs="Times New Roman"/>
                <w:color w:val="000000"/>
                <w:sz w:val="20"/>
                <w:szCs w:val="20"/>
              </w:rPr>
              <w:t>Gender and Youth</w:t>
            </w:r>
          </w:p>
        </w:tc>
        <w:tc>
          <w:tcPr>
            <w:tcW w:w="1199" w:type="dxa"/>
            <w:vMerge w:val="restart"/>
            <w:tcBorders>
              <w:top w:val="nil"/>
              <w:left w:val="single" w:sz="8" w:space="0" w:color="000000"/>
              <w:bottom w:val="single" w:sz="4" w:space="0" w:color="000000"/>
              <w:right w:val="single" w:sz="8" w:space="0" w:color="000000"/>
            </w:tcBorders>
            <w:shd w:val="clear" w:color="auto" w:fill="A9D08E"/>
            <w:vAlign w:val="center"/>
          </w:tcPr>
          <w:p w:rsidR="000A7E4A" w:rsidRDefault="0029199E">
            <w:pPr>
              <w:spacing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w:t>
            </w:r>
          </w:p>
        </w:tc>
        <w:tc>
          <w:tcPr>
            <w:tcW w:w="704" w:type="dxa"/>
            <w:tcBorders>
              <w:top w:val="nil"/>
              <w:left w:val="nil"/>
              <w:bottom w:val="single" w:sz="4" w:space="0" w:color="000000"/>
              <w:right w:val="single" w:sz="4" w:space="0" w:color="000000"/>
            </w:tcBorders>
            <w:shd w:val="clear" w:color="auto" w:fill="auto"/>
            <w:vAlign w:val="center"/>
          </w:tcPr>
          <w:p w:rsidR="000A7E4A" w:rsidRDefault="0029199E">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2020</w:t>
            </w:r>
          </w:p>
        </w:tc>
        <w:tc>
          <w:tcPr>
            <w:tcW w:w="704" w:type="dxa"/>
            <w:tcBorders>
              <w:top w:val="single" w:sz="4" w:space="0" w:color="000000"/>
              <w:left w:val="single" w:sz="4" w:space="0" w:color="000000"/>
              <w:bottom w:val="single" w:sz="4" w:space="0" w:color="000000"/>
              <w:right w:val="single" w:sz="4" w:space="0" w:color="000000"/>
            </w:tcBorders>
          </w:tcPr>
          <w:p w:rsidR="000A7E4A" w:rsidRDefault="0029199E">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r>
      <w:tr w:rsidR="000A7E4A">
        <w:trPr>
          <w:trHeight w:val="860"/>
        </w:trPr>
        <w:tc>
          <w:tcPr>
            <w:tcW w:w="1226" w:type="dxa"/>
            <w:vMerge/>
            <w:tcBorders>
              <w:top w:val="nil"/>
              <w:left w:val="single" w:sz="8" w:space="0" w:color="000000"/>
              <w:bottom w:val="single" w:sz="4" w:space="0" w:color="000000"/>
              <w:right w:val="single" w:sz="8" w:space="0" w:color="000000"/>
            </w:tcBorders>
            <w:shd w:val="clear" w:color="auto" w:fill="auto"/>
            <w:vAlign w:val="center"/>
          </w:tcPr>
          <w:p w:rsidR="000A7E4A" w:rsidRDefault="000A7E4A">
            <w:pPr>
              <w:widowControl w:val="0"/>
              <w:pBdr>
                <w:top w:val="nil"/>
                <w:left w:val="nil"/>
                <w:bottom w:val="nil"/>
                <w:right w:val="nil"/>
                <w:between w:val="nil"/>
              </w:pBdr>
              <w:spacing w:line="276" w:lineRule="auto"/>
              <w:rPr>
                <w:rFonts w:ascii="Times New Roman" w:eastAsia="Times New Roman" w:hAnsi="Times New Roman" w:cs="Times New Roman"/>
                <w:color w:val="000000"/>
                <w:sz w:val="20"/>
                <w:szCs w:val="20"/>
              </w:rPr>
            </w:pPr>
          </w:p>
        </w:tc>
        <w:tc>
          <w:tcPr>
            <w:tcW w:w="1554" w:type="dxa"/>
            <w:vMerge/>
            <w:tcBorders>
              <w:top w:val="nil"/>
              <w:left w:val="single" w:sz="8" w:space="0" w:color="000000"/>
              <w:bottom w:val="single" w:sz="4" w:space="0" w:color="000000"/>
              <w:right w:val="single" w:sz="8" w:space="0" w:color="000000"/>
            </w:tcBorders>
            <w:shd w:val="clear" w:color="auto" w:fill="auto"/>
            <w:vAlign w:val="center"/>
          </w:tcPr>
          <w:p w:rsidR="000A7E4A" w:rsidRDefault="000A7E4A">
            <w:pPr>
              <w:widowControl w:val="0"/>
              <w:pBdr>
                <w:top w:val="nil"/>
                <w:left w:val="nil"/>
                <w:bottom w:val="nil"/>
                <w:right w:val="nil"/>
                <w:between w:val="nil"/>
              </w:pBdr>
              <w:spacing w:line="276" w:lineRule="auto"/>
              <w:rPr>
                <w:rFonts w:ascii="Times New Roman" w:eastAsia="Times New Roman" w:hAnsi="Times New Roman" w:cs="Times New Roman"/>
                <w:color w:val="000000"/>
                <w:sz w:val="20"/>
                <w:szCs w:val="20"/>
              </w:rPr>
            </w:pPr>
          </w:p>
        </w:tc>
        <w:tc>
          <w:tcPr>
            <w:tcW w:w="1413" w:type="dxa"/>
            <w:vMerge/>
            <w:tcBorders>
              <w:top w:val="nil"/>
              <w:left w:val="single" w:sz="8" w:space="0" w:color="000000"/>
              <w:bottom w:val="single" w:sz="4" w:space="0" w:color="000000"/>
              <w:right w:val="single" w:sz="8" w:space="0" w:color="000000"/>
            </w:tcBorders>
            <w:shd w:val="clear" w:color="auto" w:fill="auto"/>
            <w:vAlign w:val="center"/>
          </w:tcPr>
          <w:p w:rsidR="000A7E4A" w:rsidRDefault="000A7E4A">
            <w:pPr>
              <w:widowControl w:val="0"/>
              <w:pBdr>
                <w:top w:val="nil"/>
                <w:left w:val="nil"/>
                <w:bottom w:val="nil"/>
                <w:right w:val="nil"/>
                <w:between w:val="nil"/>
              </w:pBdr>
              <w:spacing w:line="276" w:lineRule="auto"/>
              <w:rPr>
                <w:rFonts w:ascii="Times New Roman" w:eastAsia="Times New Roman" w:hAnsi="Times New Roman" w:cs="Times New Roman"/>
                <w:color w:val="000000"/>
                <w:sz w:val="20"/>
                <w:szCs w:val="20"/>
              </w:rPr>
            </w:pPr>
          </w:p>
        </w:tc>
        <w:tc>
          <w:tcPr>
            <w:tcW w:w="1412" w:type="dxa"/>
            <w:vMerge/>
            <w:tcBorders>
              <w:top w:val="nil"/>
              <w:left w:val="single" w:sz="8" w:space="0" w:color="000000"/>
              <w:bottom w:val="single" w:sz="4" w:space="0" w:color="000000"/>
              <w:right w:val="single" w:sz="8" w:space="0" w:color="000000"/>
            </w:tcBorders>
            <w:shd w:val="clear" w:color="auto" w:fill="auto"/>
            <w:vAlign w:val="center"/>
          </w:tcPr>
          <w:p w:rsidR="000A7E4A" w:rsidRDefault="000A7E4A">
            <w:pPr>
              <w:widowControl w:val="0"/>
              <w:pBdr>
                <w:top w:val="nil"/>
                <w:left w:val="nil"/>
                <w:bottom w:val="nil"/>
                <w:right w:val="nil"/>
                <w:between w:val="nil"/>
              </w:pBdr>
              <w:spacing w:line="276" w:lineRule="auto"/>
              <w:rPr>
                <w:rFonts w:ascii="Times New Roman" w:eastAsia="Times New Roman" w:hAnsi="Times New Roman" w:cs="Times New Roman"/>
                <w:color w:val="000000"/>
                <w:sz w:val="20"/>
                <w:szCs w:val="20"/>
              </w:rPr>
            </w:pPr>
          </w:p>
        </w:tc>
        <w:tc>
          <w:tcPr>
            <w:tcW w:w="1271" w:type="dxa"/>
            <w:vMerge/>
            <w:tcBorders>
              <w:top w:val="nil"/>
              <w:left w:val="single" w:sz="8" w:space="0" w:color="000000"/>
              <w:bottom w:val="single" w:sz="4" w:space="0" w:color="000000"/>
              <w:right w:val="single" w:sz="8" w:space="0" w:color="000000"/>
            </w:tcBorders>
            <w:shd w:val="clear" w:color="auto" w:fill="auto"/>
            <w:vAlign w:val="center"/>
          </w:tcPr>
          <w:p w:rsidR="000A7E4A" w:rsidRDefault="000A7E4A">
            <w:pPr>
              <w:widowControl w:val="0"/>
              <w:pBdr>
                <w:top w:val="nil"/>
                <w:left w:val="nil"/>
                <w:bottom w:val="nil"/>
                <w:right w:val="nil"/>
                <w:between w:val="nil"/>
              </w:pBdr>
              <w:spacing w:line="276" w:lineRule="auto"/>
              <w:rPr>
                <w:rFonts w:ascii="Times New Roman" w:eastAsia="Times New Roman" w:hAnsi="Times New Roman" w:cs="Times New Roman"/>
                <w:color w:val="000000"/>
                <w:sz w:val="20"/>
                <w:szCs w:val="20"/>
              </w:rPr>
            </w:pPr>
          </w:p>
        </w:tc>
        <w:tc>
          <w:tcPr>
            <w:tcW w:w="1980" w:type="dxa"/>
            <w:tcBorders>
              <w:top w:val="nil"/>
              <w:left w:val="single" w:sz="4" w:space="0" w:color="000000"/>
              <w:bottom w:val="single" w:sz="4" w:space="0" w:color="000000"/>
              <w:right w:val="single" w:sz="4" w:space="0" w:color="000000"/>
            </w:tcBorders>
            <w:shd w:val="clear" w:color="auto" w:fill="auto"/>
            <w:vAlign w:val="center"/>
          </w:tcPr>
          <w:p w:rsidR="000A7E4A" w:rsidRDefault="000A7E4A" w:rsidP="0029199E">
            <w:pPr>
              <w:spacing w:line="240" w:lineRule="auto"/>
              <w:rPr>
                <w:rFonts w:ascii="Times New Roman" w:eastAsia="Times New Roman" w:hAnsi="Times New Roman" w:cs="Times New Roman"/>
                <w:color w:val="000000"/>
                <w:sz w:val="20"/>
                <w:szCs w:val="20"/>
              </w:rPr>
            </w:pPr>
          </w:p>
        </w:tc>
        <w:tc>
          <w:tcPr>
            <w:tcW w:w="1129" w:type="dxa"/>
            <w:vMerge/>
            <w:tcBorders>
              <w:top w:val="nil"/>
              <w:left w:val="single" w:sz="8" w:space="0" w:color="000000"/>
              <w:bottom w:val="single" w:sz="4" w:space="0" w:color="000000"/>
              <w:right w:val="single" w:sz="8" w:space="0" w:color="000000"/>
            </w:tcBorders>
            <w:shd w:val="clear" w:color="auto" w:fill="auto"/>
            <w:vAlign w:val="center"/>
          </w:tcPr>
          <w:p w:rsidR="000A7E4A" w:rsidRDefault="000A7E4A">
            <w:pPr>
              <w:widowControl w:val="0"/>
              <w:pBdr>
                <w:top w:val="nil"/>
                <w:left w:val="nil"/>
                <w:bottom w:val="nil"/>
                <w:right w:val="nil"/>
                <w:between w:val="nil"/>
              </w:pBdr>
              <w:spacing w:line="276" w:lineRule="auto"/>
              <w:rPr>
                <w:rFonts w:ascii="Times New Roman" w:eastAsia="Times New Roman" w:hAnsi="Times New Roman" w:cs="Times New Roman"/>
                <w:color w:val="000000"/>
                <w:sz w:val="20"/>
                <w:szCs w:val="20"/>
              </w:rPr>
            </w:pPr>
          </w:p>
        </w:tc>
        <w:tc>
          <w:tcPr>
            <w:tcW w:w="1129" w:type="dxa"/>
            <w:vMerge/>
            <w:tcBorders>
              <w:top w:val="nil"/>
              <w:left w:val="single" w:sz="8" w:space="0" w:color="000000"/>
              <w:bottom w:val="single" w:sz="4" w:space="0" w:color="000000"/>
              <w:right w:val="single" w:sz="8" w:space="0" w:color="000000"/>
            </w:tcBorders>
            <w:shd w:val="clear" w:color="auto" w:fill="auto"/>
            <w:vAlign w:val="center"/>
          </w:tcPr>
          <w:p w:rsidR="000A7E4A" w:rsidRDefault="000A7E4A">
            <w:pPr>
              <w:widowControl w:val="0"/>
              <w:pBdr>
                <w:top w:val="nil"/>
                <w:left w:val="nil"/>
                <w:bottom w:val="nil"/>
                <w:right w:val="nil"/>
                <w:between w:val="nil"/>
              </w:pBdr>
              <w:spacing w:line="276" w:lineRule="auto"/>
              <w:rPr>
                <w:rFonts w:ascii="Times New Roman" w:eastAsia="Times New Roman" w:hAnsi="Times New Roman" w:cs="Times New Roman"/>
                <w:color w:val="000000"/>
                <w:sz w:val="20"/>
                <w:szCs w:val="20"/>
              </w:rPr>
            </w:pPr>
          </w:p>
        </w:tc>
        <w:tc>
          <w:tcPr>
            <w:tcW w:w="982" w:type="dxa"/>
            <w:vMerge/>
            <w:tcBorders>
              <w:top w:val="nil"/>
              <w:left w:val="single" w:sz="8" w:space="0" w:color="000000"/>
              <w:bottom w:val="single" w:sz="4" w:space="0" w:color="000000"/>
              <w:right w:val="single" w:sz="8" w:space="0" w:color="000000"/>
            </w:tcBorders>
            <w:shd w:val="clear" w:color="auto" w:fill="auto"/>
            <w:vAlign w:val="center"/>
          </w:tcPr>
          <w:p w:rsidR="000A7E4A" w:rsidRDefault="000A7E4A">
            <w:pPr>
              <w:widowControl w:val="0"/>
              <w:pBdr>
                <w:top w:val="nil"/>
                <w:left w:val="nil"/>
                <w:bottom w:val="nil"/>
                <w:right w:val="nil"/>
                <w:between w:val="nil"/>
              </w:pBdr>
              <w:spacing w:line="276" w:lineRule="auto"/>
              <w:rPr>
                <w:rFonts w:ascii="Times New Roman" w:eastAsia="Times New Roman" w:hAnsi="Times New Roman" w:cs="Times New Roman"/>
                <w:color w:val="000000"/>
                <w:sz w:val="20"/>
                <w:szCs w:val="20"/>
              </w:rPr>
            </w:pPr>
          </w:p>
        </w:tc>
        <w:tc>
          <w:tcPr>
            <w:tcW w:w="1199" w:type="dxa"/>
            <w:vMerge/>
            <w:tcBorders>
              <w:top w:val="nil"/>
              <w:left w:val="single" w:sz="8" w:space="0" w:color="000000"/>
              <w:bottom w:val="single" w:sz="4" w:space="0" w:color="000000"/>
              <w:right w:val="single" w:sz="8" w:space="0" w:color="000000"/>
            </w:tcBorders>
            <w:shd w:val="clear" w:color="auto" w:fill="A9D08E"/>
            <w:vAlign w:val="center"/>
          </w:tcPr>
          <w:p w:rsidR="000A7E4A" w:rsidRDefault="000A7E4A">
            <w:pPr>
              <w:widowControl w:val="0"/>
              <w:pBdr>
                <w:top w:val="nil"/>
                <w:left w:val="nil"/>
                <w:bottom w:val="nil"/>
                <w:right w:val="nil"/>
                <w:between w:val="nil"/>
              </w:pBdr>
              <w:spacing w:line="276" w:lineRule="auto"/>
              <w:rPr>
                <w:rFonts w:ascii="Times New Roman" w:eastAsia="Times New Roman" w:hAnsi="Times New Roman" w:cs="Times New Roman"/>
                <w:color w:val="000000"/>
                <w:sz w:val="20"/>
                <w:szCs w:val="20"/>
              </w:rPr>
            </w:pPr>
          </w:p>
        </w:tc>
        <w:tc>
          <w:tcPr>
            <w:tcW w:w="704" w:type="dxa"/>
            <w:tcBorders>
              <w:top w:val="nil"/>
              <w:left w:val="nil"/>
              <w:bottom w:val="single" w:sz="4" w:space="0" w:color="000000"/>
              <w:right w:val="single" w:sz="4" w:space="0" w:color="000000"/>
            </w:tcBorders>
            <w:shd w:val="clear" w:color="auto" w:fill="auto"/>
            <w:vAlign w:val="center"/>
          </w:tcPr>
          <w:p w:rsidR="000A7E4A" w:rsidRDefault="0029199E">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2020</w:t>
            </w:r>
          </w:p>
        </w:tc>
        <w:tc>
          <w:tcPr>
            <w:tcW w:w="704" w:type="dxa"/>
            <w:tcBorders>
              <w:top w:val="single" w:sz="4" w:space="0" w:color="000000"/>
              <w:left w:val="single" w:sz="4" w:space="0" w:color="000000"/>
              <w:bottom w:val="single" w:sz="4" w:space="0" w:color="000000"/>
              <w:right w:val="single" w:sz="4" w:space="0" w:color="000000"/>
            </w:tcBorders>
          </w:tcPr>
          <w:p w:rsidR="000A7E4A" w:rsidRDefault="0029199E">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r>
      <w:tr w:rsidR="000A7E4A">
        <w:trPr>
          <w:trHeight w:val="780"/>
        </w:trPr>
        <w:tc>
          <w:tcPr>
            <w:tcW w:w="1226" w:type="dxa"/>
            <w:vMerge/>
            <w:tcBorders>
              <w:top w:val="nil"/>
              <w:left w:val="single" w:sz="8" w:space="0" w:color="000000"/>
              <w:bottom w:val="single" w:sz="4" w:space="0" w:color="000000"/>
              <w:right w:val="single" w:sz="8" w:space="0" w:color="000000"/>
            </w:tcBorders>
            <w:shd w:val="clear" w:color="auto" w:fill="auto"/>
            <w:vAlign w:val="center"/>
          </w:tcPr>
          <w:p w:rsidR="000A7E4A" w:rsidRDefault="000A7E4A">
            <w:pPr>
              <w:widowControl w:val="0"/>
              <w:pBdr>
                <w:top w:val="nil"/>
                <w:left w:val="nil"/>
                <w:bottom w:val="nil"/>
                <w:right w:val="nil"/>
                <w:between w:val="nil"/>
              </w:pBdr>
              <w:spacing w:line="276" w:lineRule="auto"/>
              <w:rPr>
                <w:rFonts w:ascii="Times New Roman" w:eastAsia="Times New Roman" w:hAnsi="Times New Roman" w:cs="Times New Roman"/>
                <w:color w:val="000000"/>
                <w:sz w:val="20"/>
                <w:szCs w:val="20"/>
              </w:rPr>
            </w:pPr>
          </w:p>
        </w:tc>
        <w:tc>
          <w:tcPr>
            <w:tcW w:w="1554" w:type="dxa"/>
            <w:vMerge/>
            <w:tcBorders>
              <w:top w:val="nil"/>
              <w:left w:val="single" w:sz="8" w:space="0" w:color="000000"/>
              <w:bottom w:val="single" w:sz="4" w:space="0" w:color="000000"/>
              <w:right w:val="single" w:sz="8" w:space="0" w:color="000000"/>
            </w:tcBorders>
            <w:shd w:val="clear" w:color="auto" w:fill="auto"/>
            <w:vAlign w:val="center"/>
          </w:tcPr>
          <w:p w:rsidR="000A7E4A" w:rsidRDefault="000A7E4A">
            <w:pPr>
              <w:widowControl w:val="0"/>
              <w:pBdr>
                <w:top w:val="nil"/>
                <w:left w:val="nil"/>
                <w:bottom w:val="nil"/>
                <w:right w:val="nil"/>
                <w:between w:val="nil"/>
              </w:pBdr>
              <w:spacing w:line="276" w:lineRule="auto"/>
              <w:rPr>
                <w:rFonts w:ascii="Times New Roman" w:eastAsia="Times New Roman" w:hAnsi="Times New Roman" w:cs="Times New Roman"/>
                <w:color w:val="000000"/>
                <w:sz w:val="20"/>
                <w:szCs w:val="20"/>
              </w:rPr>
            </w:pPr>
          </w:p>
        </w:tc>
        <w:tc>
          <w:tcPr>
            <w:tcW w:w="1413" w:type="dxa"/>
            <w:vMerge/>
            <w:tcBorders>
              <w:top w:val="nil"/>
              <w:left w:val="single" w:sz="8" w:space="0" w:color="000000"/>
              <w:bottom w:val="single" w:sz="4" w:space="0" w:color="000000"/>
              <w:right w:val="single" w:sz="8" w:space="0" w:color="000000"/>
            </w:tcBorders>
            <w:shd w:val="clear" w:color="auto" w:fill="auto"/>
            <w:vAlign w:val="center"/>
          </w:tcPr>
          <w:p w:rsidR="000A7E4A" w:rsidRDefault="000A7E4A">
            <w:pPr>
              <w:widowControl w:val="0"/>
              <w:pBdr>
                <w:top w:val="nil"/>
                <w:left w:val="nil"/>
                <w:bottom w:val="nil"/>
                <w:right w:val="nil"/>
                <w:between w:val="nil"/>
              </w:pBdr>
              <w:spacing w:line="276" w:lineRule="auto"/>
              <w:rPr>
                <w:rFonts w:ascii="Times New Roman" w:eastAsia="Times New Roman" w:hAnsi="Times New Roman" w:cs="Times New Roman"/>
                <w:color w:val="000000"/>
                <w:sz w:val="20"/>
                <w:szCs w:val="20"/>
              </w:rPr>
            </w:pPr>
          </w:p>
        </w:tc>
        <w:tc>
          <w:tcPr>
            <w:tcW w:w="1412" w:type="dxa"/>
            <w:vMerge/>
            <w:tcBorders>
              <w:top w:val="nil"/>
              <w:left w:val="single" w:sz="8" w:space="0" w:color="000000"/>
              <w:bottom w:val="single" w:sz="4" w:space="0" w:color="000000"/>
              <w:right w:val="single" w:sz="8" w:space="0" w:color="000000"/>
            </w:tcBorders>
            <w:shd w:val="clear" w:color="auto" w:fill="auto"/>
            <w:vAlign w:val="center"/>
          </w:tcPr>
          <w:p w:rsidR="000A7E4A" w:rsidRDefault="000A7E4A">
            <w:pPr>
              <w:widowControl w:val="0"/>
              <w:pBdr>
                <w:top w:val="nil"/>
                <w:left w:val="nil"/>
                <w:bottom w:val="nil"/>
                <w:right w:val="nil"/>
                <w:between w:val="nil"/>
              </w:pBdr>
              <w:spacing w:line="276" w:lineRule="auto"/>
              <w:rPr>
                <w:rFonts w:ascii="Times New Roman" w:eastAsia="Times New Roman" w:hAnsi="Times New Roman" w:cs="Times New Roman"/>
                <w:color w:val="000000"/>
                <w:sz w:val="20"/>
                <w:szCs w:val="20"/>
              </w:rPr>
            </w:pPr>
          </w:p>
        </w:tc>
        <w:tc>
          <w:tcPr>
            <w:tcW w:w="1271" w:type="dxa"/>
            <w:vMerge/>
            <w:tcBorders>
              <w:top w:val="nil"/>
              <w:left w:val="single" w:sz="8" w:space="0" w:color="000000"/>
              <w:bottom w:val="single" w:sz="4" w:space="0" w:color="000000"/>
              <w:right w:val="single" w:sz="8" w:space="0" w:color="000000"/>
            </w:tcBorders>
            <w:shd w:val="clear" w:color="auto" w:fill="auto"/>
            <w:vAlign w:val="center"/>
          </w:tcPr>
          <w:p w:rsidR="000A7E4A" w:rsidRDefault="000A7E4A">
            <w:pPr>
              <w:widowControl w:val="0"/>
              <w:pBdr>
                <w:top w:val="nil"/>
                <w:left w:val="nil"/>
                <w:bottom w:val="nil"/>
                <w:right w:val="nil"/>
                <w:between w:val="nil"/>
              </w:pBdr>
              <w:spacing w:line="276" w:lineRule="auto"/>
              <w:rPr>
                <w:rFonts w:ascii="Times New Roman" w:eastAsia="Times New Roman" w:hAnsi="Times New Roman" w:cs="Times New Roman"/>
                <w:color w:val="000000"/>
                <w:sz w:val="20"/>
                <w:szCs w:val="20"/>
              </w:rPr>
            </w:pPr>
          </w:p>
        </w:tc>
        <w:tc>
          <w:tcPr>
            <w:tcW w:w="1980" w:type="dxa"/>
            <w:tcBorders>
              <w:top w:val="nil"/>
              <w:left w:val="single" w:sz="4" w:space="0" w:color="000000"/>
              <w:bottom w:val="single" w:sz="4" w:space="0" w:color="000000"/>
              <w:right w:val="single" w:sz="4" w:space="0" w:color="000000"/>
            </w:tcBorders>
            <w:shd w:val="clear" w:color="auto" w:fill="auto"/>
            <w:vAlign w:val="center"/>
          </w:tcPr>
          <w:p w:rsidR="000A7E4A" w:rsidRPr="00750F3B" w:rsidRDefault="0029199E">
            <w:pPr>
              <w:spacing w:line="240" w:lineRule="auto"/>
              <w:rPr>
                <w:rFonts w:ascii="Times New Roman" w:eastAsia="Times New Roman" w:hAnsi="Times New Roman" w:cs="Times New Roman"/>
                <w:color w:val="000000"/>
                <w:sz w:val="20"/>
                <w:szCs w:val="20"/>
                <w:highlight w:val="yellow"/>
              </w:rPr>
            </w:pPr>
            <w:r w:rsidRPr="00750F3B">
              <w:rPr>
                <w:rFonts w:ascii="Times New Roman" w:eastAsia="Times New Roman" w:hAnsi="Times New Roman" w:cs="Times New Roman"/>
                <w:color w:val="000000"/>
                <w:sz w:val="20"/>
                <w:szCs w:val="20"/>
                <w:highlight w:val="yellow"/>
              </w:rPr>
              <w:t>4.b. Support the reformulation of the GFMP based on the National Forest Certification recommendations, and updated strategic planning and internal regulations.</w:t>
            </w:r>
          </w:p>
        </w:tc>
        <w:tc>
          <w:tcPr>
            <w:tcW w:w="1129" w:type="dxa"/>
            <w:vMerge/>
            <w:tcBorders>
              <w:top w:val="nil"/>
              <w:left w:val="single" w:sz="8" w:space="0" w:color="000000"/>
              <w:bottom w:val="single" w:sz="4" w:space="0" w:color="000000"/>
              <w:right w:val="single" w:sz="8" w:space="0" w:color="000000"/>
            </w:tcBorders>
            <w:shd w:val="clear" w:color="auto" w:fill="auto"/>
            <w:vAlign w:val="center"/>
          </w:tcPr>
          <w:p w:rsidR="000A7E4A" w:rsidRDefault="000A7E4A">
            <w:pPr>
              <w:widowControl w:val="0"/>
              <w:pBdr>
                <w:top w:val="nil"/>
                <w:left w:val="nil"/>
                <w:bottom w:val="nil"/>
                <w:right w:val="nil"/>
                <w:between w:val="nil"/>
              </w:pBdr>
              <w:spacing w:line="276" w:lineRule="auto"/>
              <w:rPr>
                <w:rFonts w:ascii="Times New Roman" w:eastAsia="Times New Roman" w:hAnsi="Times New Roman" w:cs="Times New Roman"/>
                <w:color w:val="000000"/>
                <w:sz w:val="20"/>
                <w:szCs w:val="20"/>
              </w:rPr>
            </w:pPr>
          </w:p>
        </w:tc>
        <w:tc>
          <w:tcPr>
            <w:tcW w:w="1129" w:type="dxa"/>
            <w:vMerge/>
            <w:tcBorders>
              <w:top w:val="nil"/>
              <w:left w:val="single" w:sz="8" w:space="0" w:color="000000"/>
              <w:bottom w:val="single" w:sz="4" w:space="0" w:color="000000"/>
              <w:right w:val="single" w:sz="8" w:space="0" w:color="000000"/>
            </w:tcBorders>
            <w:shd w:val="clear" w:color="auto" w:fill="auto"/>
            <w:vAlign w:val="center"/>
          </w:tcPr>
          <w:p w:rsidR="000A7E4A" w:rsidRDefault="000A7E4A">
            <w:pPr>
              <w:widowControl w:val="0"/>
              <w:pBdr>
                <w:top w:val="nil"/>
                <w:left w:val="nil"/>
                <w:bottom w:val="nil"/>
                <w:right w:val="nil"/>
                <w:between w:val="nil"/>
              </w:pBdr>
              <w:spacing w:line="276" w:lineRule="auto"/>
              <w:rPr>
                <w:rFonts w:ascii="Times New Roman" w:eastAsia="Times New Roman" w:hAnsi="Times New Roman" w:cs="Times New Roman"/>
                <w:color w:val="000000"/>
                <w:sz w:val="20"/>
                <w:szCs w:val="20"/>
              </w:rPr>
            </w:pPr>
          </w:p>
        </w:tc>
        <w:tc>
          <w:tcPr>
            <w:tcW w:w="982" w:type="dxa"/>
            <w:vMerge/>
            <w:tcBorders>
              <w:top w:val="nil"/>
              <w:left w:val="single" w:sz="8" w:space="0" w:color="000000"/>
              <w:bottom w:val="single" w:sz="4" w:space="0" w:color="000000"/>
              <w:right w:val="single" w:sz="8" w:space="0" w:color="000000"/>
            </w:tcBorders>
            <w:shd w:val="clear" w:color="auto" w:fill="auto"/>
            <w:vAlign w:val="center"/>
          </w:tcPr>
          <w:p w:rsidR="000A7E4A" w:rsidRDefault="000A7E4A">
            <w:pPr>
              <w:widowControl w:val="0"/>
              <w:pBdr>
                <w:top w:val="nil"/>
                <w:left w:val="nil"/>
                <w:bottom w:val="nil"/>
                <w:right w:val="nil"/>
                <w:between w:val="nil"/>
              </w:pBdr>
              <w:spacing w:line="276" w:lineRule="auto"/>
              <w:rPr>
                <w:rFonts w:ascii="Times New Roman" w:eastAsia="Times New Roman" w:hAnsi="Times New Roman" w:cs="Times New Roman"/>
                <w:color w:val="000000"/>
                <w:sz w:val="20"/>
                <w:szCs w:val="20"/>
              </w:rPr>
            </w:pPr>
          </w:p>
        </w:tc>
        <w:tc>
          <w:tcPr>
            <w:tcW w:w="1199" w:type="dxa"/>
            <w:vMerge/>
            <w:tcBorders>
              <w:top w:val="nil"/>
              <w:left w:val="single" w:sz="8" w:space="0" w:color="000000"/>
              <w:bottom w:val="single" w:sz="4" w:space="0" w:color="000000"/>
              <w:right w:val="single" w:sz="8" w:space="0" w:color="000000"/>
            </w:tcBorders>
            <w:shd w:val="clear" w:color="auto" w:fill="A9D08E"/>
            <w:vAlign w:val="center"/>
          </w:tcPr>
          <w:p w:rsidR="000A7E4A" w:rsidRDefault="000A7E4A">
            <w:pPr>
              <w:widowControl w:val="0"/>
              <w:pBdr>
                <w:top w:val="nil"/>
                <w:left w:val="nil"/>
                <w:bottom w:val="nil"/>
                <w:right w:val="nil"/>
                <w:between w:val="nil"/>
              </w:pBdr>
              <w:spacing w:line="276" w:lineRule="auto"/>
              <w:rPr>
                <w:rFonts w:ascii="Times New Roman" w:eastAsia="Times New Roman" w:hAnsi="Times New Roman" w:cs="Times New Roman"/>
                <w:color w:val="000000"/>
                <w:sz w:val="20"/>
                <w:szCs w:val="20"/>
              </w:rPr>
            </w:pPr>
          </w:p>
        </w:tc>
        <w:tc>
          <w:tcPr>
            <w:tcW w:w="704" w:type="dxa"/>
            <w:tcBorders>
              <w:top w:val="nil"/>
              <w:left w:val="nil"/>
              <w:bottom w:val="single" w:sz="4" w:space="0" w:color="000000"/>
              <w:right w:val="single" w:sz="4" w:space="0" w:color="000000"/>
            </w:tcBorders>
            <w:shd w:val="clear" w:color="auto" w:fill="auto"/>
            <w:vAlign w:val="center"/>
          </w:tcPr>
          <w:p w:rsidR="000A7E4A" w:rsidRDefault="0029199E">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2020</w:t>
            </w:r>
          </w:p>
        </w:tc>
        <w:tc>
          <w:tcPr>
            <w:tcW w:w="704" w:type="dxa"/>
            <w:tcBorders>
              <w:top w:val="single" w:sz="4" w:space="0" w:color="000000"/>
              <w:left w:val="single" w:sz="4" w:space="0" w:color="000000"/>
              <w:bottom w:val="single" w:sz="4" w:space="0" w:color="000000"/>
              <w:right w:val="single" w:sz="4" w:space="0" w:color="000000"/>
            </w:tcBorders>
          </w:tcPr>
          <w:p w:rsidR="000A7E4A" w:rsidRDefault="0029199E">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r>
      <w:tr w:rsidR="000A7E4A">
        <w:trPr>
          <w:trHeight w:val="660"/>
        </w:trPr>
        <w:tc>
          <w:tcPr>
            <w:tcW w:w="1226" w:type="dxa"/>
            <w:vMerge/>
            <w:tcBorders>
              <w:top w:val="nil"/>
              <w:left w:val="single" w:sz="8" w:space="0" w:color="000000"/>
              <w:bottom w:val="single" w:sz="4" w:space="0" w:color="000000"/>
              <w:right w:val="single" w:sz="8" w:space="0" w:color="000000"/>
            </w:tcBorders>
            <w:shd w:val="clear" w:color="auto" w:fill="auto"/>
            <w:vAlign w:val="center"/>
          </w:tcPr>
          <w:p w:rsidR="000A7E4A" w:rsidRDefault="000A7E4A">
            <w:pPr>
              <w:widowControl w:val="0"/>
              <w:pBdr>
                <w:top w:val="nil"/>
                <w:left w:val="nil"/>
                <w:bottom w:val="nil"/>
                <w:right w:val="nil"/>
                <w:between w:val="nil"/>
              </w:pBdr>
              <w:spacing w:line="276" w:lineRule="auto"/>
              <w:rPr>
                <w:rFonts w:ascii="Times New Roman" w:eastAsia="Times New Roman" w:hAnsi="Times New Roman" w:cs="Times New Roman"/>
                <w:color w:val="000000"/>
                <w:sz w:val="20"/>
                <w:szCs w:val="20"/>
              </w:rPr>
            </w:pPr>
          </w:p>
        </w:tc>
        <w:tc>
          <w:tcPr>
            <w:tcW w:w="1554" w:type="dxa"/>
            <w:vMerge/>
            <w:tcBorders>
              <w:top w:val="nil"/>
              <w:left w:val="single" w:sz="8" w:space="0" w:color="000000"/>
              <w:bottom w:val="single" w:sz="4" w:space="0" w:color="000000"/>
              <w:right w:val="single" w:sz="8" w:space="0" w:color="000000"/>
            </w:tcBorders>
            <w:shd w:val="clear" w:color="auto" w:fill="auto"/>
            <w:vAlign w:val="center"/>
          </w:tcPr>
          <w:p w:rsidR="000A7E4A" w:rsidRDefault="000A7E4A">
            <w:pPr>
              <w:widowControl w:val="0"/>
              <w:pBdr>
                <w:top w:val="nil"/>
                <w:left w:val="nil"/>
                <w:bottom w:val="nil"/>
                <w:right w:val="nil"/>
                <w:between w:val="nil"/>
              </w:pBdr>
              <w:spacing w:line="276" w:lineRule="auto"/>
              <w:rPr>
                <w:rFonts w:ascii="Times New Roman" w:eastAsia="Times New Roman" w:hAnsi="Times New Roman" w:cs="Times New Roman"/>
                <w:color w:val="000000"/>
                <w:sz w:val="20"/>
                <w:szCs w:val="20"/>
              </w:rPr>
            </w:pPr>
          </w:p>
        </w:tc>
        <w:tc>
          <w:tcPr>
            <w:tcW w:w="1413" w:type="dxa"/>
            <w:vMerge/>
            <w:tcBorders>
              <w:top w:val="nil"/>
              <w:left w:val="single" w:sz="8" w:space="0" w:color="000000"/>
              <w:bottom w:val="single" w:sz="4" w:space="0" w:color="000000"/>
              <w:right w:val="single" w:sz="8" w:space="0" w:color="000000"/>
            </w:tcBorders>
            <w:shd w:val="clear" w:color="auto" w:fill="auto"/>
            <w:vAlign w:val="center"/>
          </w:tcPr>
          <w:p w:rsidR="000A7E4A" w:rsidRDefault="000A7E4A">
            <w:pPr>
              <w:widowControl w:val="0"/>
              <w:pBdr>
                <w:top w:val="nil"/>
                <w:left w:val="nil"/>
                <w:bottom w:val="nil"/>
                <w:right w:val="nil"/>
                <w:between w:val="nil"/>
              </w:pBdr>
              <w:spacing w:line="276" w:lineRule="auto"/>
              <w:rPr>
                <w:rFonts w:ascii="Times New Roman" w:eastAsia="Times New Roman" w:hAnsi="Times New Roman" w:cs="Times New Roman"/>
                <w:color w:val="000000"/>
                <w:sz w:val="20"/>
                <w:szCs w:val="20"/>
              </w:rPr>
            </w:pPr>
          </w:p>
        </w:tc>
        <w:tc>
          <w:tcPr>
            <w:tcW w:w="1412" w:type="dxa"/>
            <w:vMerge/>
            <w:tcBorders>
              <w:top w:val="nil"/>
              <w:left w:val="single" w:sz="8" w:space="0" w:color="000000"/>
              <w:bottom w:val="single" w:sz="4" w:space="0" w:color="000000"/>
              <w:right w:val="single" w:sz="8" w:space="0" w:color="000000"/>
            </w:tcBorders>
            <w:shd w:val="clear" w:color="auto" w:fill="auto"/>
            <w:vAlign w:val="center"/>
          </w:tcPr>
          <w:p w:rsidR="000A7E4A" w:rsidRDefault="000A7E4A">
            <w:pPr>
              <w:widowControl w:val="0"/>
              <w:pBdr>
                <w:top w:val="nil"/>
                <w:left w:val="nil"/>
                <w:bottom w:val="nil"/>
                <w:right w:val="nil"/>
                <w:between w:val="nil"/>
              </w:pBdr>
              <w:spacing w:line="276" w:lineRule="auto"/>
              <w:rPr>
                <w:rFonts w:ascii="Times New Roman" w:eastAsia="Times New Roman" w:hAnsi="Times New Roman" w:cs="Times New Roman"/>
                <w:color w:val="000000"/>
                <w:sz w:val="20"/>
                <w:szCs w:val="20"/>
              </w:rPr>
            </w:pPr>
          </w:p>
        </w:tc>
        <w:tc>
          <w:tcPr>
            <w:tcW w:w="1271" w:type="dxa"/>
            <w:vMerge/>
            <w:tcBorders>
              <w:top w:val="nil"/>
              <w:left w:val="single" w:sz="8" w:space="0" w:color="000000"/>
              <w:bottom w:val="single" w:sz="4" w:space="0" w:color="000000"/>
              <w:right w:val="single" w:sz="8" w:space="0" w:color="000000"/>
            </w:tcBorders>
            <w:shd w:val="clear" w:color="auto" w:fill="auto"/>
            <w:vAlign w:val="center"/>
          </w:tcPr>
          <w:p w:rsidR="000A7E4A" w:rsidRDefault="000A7E4A">
            <w:pPr>
              <w:widowControl w:val="0"/>
              <w:pBdr>
                <w:top w:val="nil"/>
                <w:left w:val="nil"/>
                <w:bottom w:val="nil"/>
                <w:right w:val="nil"/>
                <w:between w:val="nil"/>
              </w:pBdr>
              <w:spacing w:line="276" w:lineRule="auto"/>
              <w:rPr>
                <w:rFonts w:ascii="Times New Roman" w:eastAsia="Times New Roman" w:hAnsi="Times New Roman" w:cs="Times New Roman"/>
                <w:color w:val="000000"/>
                <w:sz w:val="20"/>
                <w:szCs w:val="20"/>
              </w:rPr>
            </w:pPr>
          </w:p>
        </w:tc>
        <w:tc>
          <w:tcPr>
            <w:tcW w:w="1980" w:type="dxa"/>
            <w:tcBorders>
              <w:top w:val="nil"/>
              <w:left w:val="single" w:sz="4" w:space="0" w:color="000000"/>
              <w:bottom w:val="single" w:sz="4" w:space="0" w:color="000000"/>
              <w:right w:val="single" w:sz="4" w:space="0" w:color="000000"/>
            </w:tcBorders>
            <w:shd w:val="clear" w:color="auto" w:fill="auto"/>
            <w:vAlign w:val="center"/>
          </w:tcPr>
          <w:p w:rsidR="000A7E4A" w:rsidRDefault="000A7E4A" w:rsidP="0029199E">
            <w:pPr>
              <w:spacing w:line="240" w:lineRule="auto"/>
              <w:rPr>
                <w:rFonts w:ascii="Times New Roman" w:eastAsia="Times New Roman" w:hAnsi="Times New Roman" w:cs="Times New Roman"/>
                <w:color w:val="000000"/>
                <w:sz w:val="20"/>
                <w:szCs w:val="20"/>
              </w:rPr>
            </w:pPr>
          </w:p>
        </w:tc>
        <w:tc>
          <w:tcPr>
            <w:tcW w:w="1129" w:type="dxa"/>
            <w:vMerge/>
            <w:tcBorders>
              <w:top w:val="nil"/>
              <w:left w:val="single" w:sz="8" w:space="0" w:color="000000"/>
              <w:bottom w:val="single" w:sz="4" w:space="0" w:color="000000"/>
              <w:right w:val="single" w:sz="8" w:space="0" w:color="000000"/>
            </w:tcBorders>
            <w:shd w:val="clear" w:color="auto" w:fill="auto"/>
            <w:vAlign w:val="center"/>
          </w:tcPr>
          <w:p w:rsidR="000A7E4A" w:rsidRDefault="000A7E4A">
            <w:pPr>
              <w:widowControl w:val="0"/>
              <w:pBdr>
                <w:top w:val="nil"/>
                <w:left w:val="nil"/>
                <w:bottom w:val="nil"/>
                <w:right w:val="nil"/>
                <w:between w:val="nil"/>
              </w:pBdr>
              <w:spacing w:line="276" w:lineRule="auto"/>
              <w:rPr>
                <w:rFonts w:ascii="Times New Roman" w:eastAsia="Times New Roman" w:hAnsi="Times New Roman" w:cs="Times New Roman"/>
                <w:color w:val="000000"/>
                <w:sz w:val="20"/>
                <w:szCs w:val="20"/>
              </w:rPr>
            </w:pPr>
          </w:p>
        </w:tc>
        <w:tc>
          <w:tcPr>
            <w:tcW w:w="1129" w:type="dxa"/>
            <w:vMerge/>
            <w:tcBorders>
              <w:top w:val="nil"/>
              <w:left w:val="single" w:sz="8" w:space="0" w:color="000000"/>
              <w:bottom w:val="single" w:sz="4" w:space="0" w:color="000000"/>
              <w:right w:val="single" w:sz="8" w:space="0" w:color="000000"/>
            </w:tcBorders>
            <w:shd w:val="clear" w:color="auto" w:fill="auto"/>
            <w:vAlign w:val="center"/>
          </w:tcPr>
          <w:p w:rsidR="000A7E4A" w:rsidRDefault="000A7E4A">
            <w:pPr>
              <w:widowControl w:val="0"/>
              <w:pBdr>
                <w:top w:val="nil"/>
                <w:left w:val="nil"/>
                <w:bottom w:val="nil"/>
                <w:right w:val="nil"/>
                <w:between w:val="nil"/>
              </w:pBdr>
              <w:spacing w:line="276" w:lineRule="auto"/>
              <w:rPr>
                <w:rFonts w:ascii="Times New Roman" w:eastAsia="Times New Roman" w:hAnsi="Times New Roman" w:cs="Times New Roman"/>
                <w:color w:val="000000"/>
                <w:sz w:val="20"/>
                <w:szCs w:val="20"/>
              </w:rPr>
            </w:pPr>
          </w:p>
        </w:tc>
        <w:tc>
          <w:tcPr>
            <w:tcW w:w="982" w:type="dxa"/>
            <w:vMerge/>
            <w:tcBorders>
              <w:top w:val="nil"/>
              <w:left w:val="single" w:sz="8" w:space="0" w:color="000000"/>
              <w:bottom w:val="single" w:sz="4" w:space="0" w:color="000000"/>
              <w:right w:val="single" w:sz="8" w:space="0" w:color="000000"/>
            </w:tcBorders>
            <w:shd w:val="clear" w:color="auto" w:fill="auto"/>
            <w:vAlign w:val="center"/>
          </w:tcPr>
          <w:p w:rsidR="000A7E4A" w:rsidRDefault="000A7E4A">
            <w:pPr>
              <w:widowControl w:val="0"/>
              <w:pBdr>
                <w:top w:val="nil"/>
                <w:left w:val="nil"/>
                <w:bottom w:val="nil"/>
                <w:right w:val="nil"/>
                <w:between w:val="nil"/>
              </w:pBdr>
              <w:spacing w:line="276" w:lineRule="auto"/>
              <w:rPr>
                <w:rFonts w:ascii="Times New Roman" w:eastAsia="Times New Roman" w:hAnsi="Times New Roman" w:cs="Times New Roman"/>
                <w:color w:val="000000"/>
                <w:sz w:val="20"/>
                <w:szCs w:val="20"/>
              </w:rPr>
            </w:pPr>
          </w:p>
        </w:tc>
        <w:tc>
          <w:tcPr>
            <w:tcW w:w="1199" w:type="dxa"/>
            <w:vMerge/>
            <w:tcBorders>
              <w:top w:val="nil"/>
              <w:left w:val="single" w:sz="8" w:space="0" w:color="000000"/>
              <w:bottom w:val="single" w:sz="4" w:space="0" w:color="000000"/>
              <w:right w:val="single" w:sz="8" w:space="0" w:color="000000"/>
            </w:tcBorders>
            <w:shd w:val="clear" w:color="auto" w:fill="A9D08E"/>
            <w:vAlign w:val="center"/>
          </w:tcPr>
          <w:p w:rsidR="000A7E4A" w:rsidRDefault="000A7E4A">
            <w:pPr>
              <w:widowControl w:val="0"/>
              <w:pBdr>
                <w:top w:val="nil"/>
                <w:left w:val="nil"/>
                <w:bottom w:val="nil"/>
                <w:right w:val="nil"/>
                <w:between w:val="nil"/>
              </w:pBdr>
              <w:spacing w:line="276" w:lineRule="auto"/>
              <w:rPr>
                <w:rFonts w:ascii="Times New Roman" w:eastAsia="Times New Roman" w:hAnsi="Times New Roman" w:cs="Times New Roman"/>
                <w:color w:val="000000"/>
                <w:sz w:val="20"/>
                <w:szCs w:val="20"/>
              </w:rPr>
            </w:pPr>
          </w:p>
        </w:tc>
        <w:tc>
          <w:tcPr>
            <w:tcW w:w="704" w:type="dxa"/>
            <w:tcBorders>
              <w:top w:val="nil"/>
              <w:left w:val="nil"/>
              <w:bottom w:val="single" w:sz="4" w:space="0" w:color="000000"/>
              <w:right w:val="single" w:sz="4" w:space="0" w:color="000000"/>
            </w:tcBorders>
            <w:shd w:val="clear" w:color="auto" w:fill="auto"/>
            <w:vAlign w:val="center"/>
          </w:tcPr>
          <w:p w:rsidR="000A7E4A" w:rsidRDefault="000A7E4A">
            <w:pPr>
              <w:spacing w:line="240" w:lineRule="auto"/>
              <w:jc w:val="center"/>
              <w:rPr>
                <w:rFonts w:ascii="Times New Roman" w:eastAsia="Times New Roman" w:hAnsi="Times New Roman" w:cs="Times New Roman"/>
                <w:color w:val="000000"/>
                <w:sz w:val="20"/>
                <w:szCs w:val="20"/>
              </w:rPr>
            </w:pPr>
          </w:p>
        </w:tc>
        <w:tc>
          <w:tcPr>
            <w:tcW w:w="704" w:type="dxa"/>
            <w:tcBorders>
              <w:top w:val="single" w:sz="4" w:space="0" w:color="000000"/>
              <w:left w:val="single" w:sz="4" w:space="0" w:color="000000"/>
              <w:bottom w:val="single" w:sz="4" w:space="0" w:color="000000"/>
              <w:right w:val="single" w:sz="4" w:space="0" w:color="000000"/>
            </w:tcBorders>
          </w:tcPr>
          <w:p w:rsidR="000A7E4A" w:rsidRDefault="000A7E4A">
            <w:pPr>
              <w:spacing w:line="240" w:lineRule="auto"/>
              <w:jc w:val="center"/>
              <w:rPr>
                <w:rFonts w:ascii="Times New Roman" w:eastAsia="Times New Roman" w:hAnsi="Times New Roman" w:cs="Times New Roman"/>
                <w:color w:val="000000"/>
                <w:sz w:val="20"/>
                <w:szCs w:val="20"/>
              </w:rPr>
            </w:pPr>
          </w:p>
        </w:tc>
      </w:tr>
      <w:tr w:rsidR="000A7E4A">
        <w:trPr>
          <w:trHeight w:val="760"/>
        </w:trPr>
        <w:tc>
          <w:tcPr>
            <w:tcW w:w="1226" w:type="dxa"/>
            <w:vMerge w:val="restart"/>
            <w:tcBorders>
              <w:top w:val="nil"/>
              <w:left w:val="single" w:sz="8" w:space="0" w:color="000000"/>
              <w:bottom w:val="single" w:sz="4" w:space="0" w:color="000000"/>
              <w:right w:val="single" w:sz="8" w:space="0" w:color="000000"/>
            </w:tcBorders>
            <w:shd w:val="clear" w:color="auto" w:fill="auto"/>
            <w:vAlign w:val="center"/>
          </w:tcPr>
          <w:p w:rsidR="000A7E4A" w:rsidRDefault="0029199E">
            <w:pPr>
              <w:spacing w:line="240" w:lineRule="auto"/>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6. Stakeholders sign agreements about the development and implementation of policies and practices that increase the resilience and sustainability of the landscape</w:t>
            </w:r>
          </w:p>
        </w:tc>
        <w:tc>
          <w:tcPr>
            <w:tcW w:w="1554" w:type="dxa"/>
            <w:vMerge w:val="restart"/>
            <w:tcBorders>
              <w:top w:val="nil"/>
              <w:left w:val="single" w:sz="8" w:space="0" w:color="000000"/>
              <w:bottom w:val="single" w:sz="4" w:space="0" w:color="000000"/>
              <w:right w:val="single" w:sz="8" w:space="0" w:color="000000"/>
            </w:tcBorders>
            <w:shd w:val="clear" w:color="auto" w:fill="auto"/>
            <w:vAlign w:val="center"/>
          </w:tcPr>
          <w:p w:rsidR="000A7E4A" w:rsidRDefault="0029199E">
            <w:pPr>
              <w:spacing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6.1. Association of agriculture and cattle ranchers participate in the multi-stakeholder dialogue to co-develop policies and practices with indigenous communities that increase the resilience and sustainability of the landscape.</w:t>
            </w:r>
          </w:p>
        </w:tc>
        <w:tc>
          <w:tcPr>
            <w:tcW w:w="1413" w:type="dxa"/>
            <w:vMerge w:val="restart"/>
            <w:tcBorders>
              <w:top w:val="nil"/>
              <w:left w:val="single" w:sz="8" w:space="0" w:color="000000"/>
              <w:bottom w:val="single" w:sz="4" w:space="0" w:color="000000"/>
              <w:right w:val="single" w:sz="8" w:space="0" w:color="000000"/>
            </w:tcBorders>
            <w:shd w:val="clear" w:color="auto" w:fill="auto"/>
            <w:vAlign w:val="center"/>
          </w:tcPr>
          <w:p w:rsidR="000A7E4A" w:rsidRDefault="0029199E">
            <w:pPr>
              <w:spacing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6.5.  Asociation of agriculture and cattle ranchers have no interest or discussion about an agreement to the co-develop of policies and practices  with indigenous communities that increase the resilience and sustainability of the landscape</w:t>
            </w:r>
          </w:p>
        </w:tc>
        <w:tc>
          <w:tcPr>
            <w:tcW w:w="1412" w:type="dxa"/>
            <w:vMerge w:val="restart"/>
            <w:tcBorders>
              <w:top w:val="nil"/>
              <w:left w:val="single" w:sz="8" w:space="0" w:color="000000"/>
              <w:bottom w:val="single" w:sz="4" w:space="0" w:color="000000"/>
              <w:right w:val="single" w:sz="8" w:space="0" w:color="000000"/>
            </w:tcBorders>
            <w:shd w:val="clear" w:color="auto" w:fill="auto"/>
            <w:vAlign w:val="center"/>
          </w:tcPr>
          <w:p w:rsidR="000A7E4A" w:rsidRDefault="0029199E">
            <w:pPr>
              <w:spacing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6.4. Association of agriculture and cattle ranchers show interest in the information related to the impact of climate change on their productive systems. </w:t>
            </w:r>
          </w:p>
        </w:tc>
        <w:tc>
          <w:tcPr>
            <w:tcW w:w="1271" w:type="dxa"/>
            <w:vMerge w:val="restart"/>
            <w:tcBorders>
              <w:top w:val="nil"/>
              <w:left w:val="single" w:sz="8" w:space="0" w:color="000000"/>
              <w:bottom w:val="single" w:sz="4" w:space="0" w:color="000000"/>
              <w:right w:val="single" w:sz="8" w:space="0" w:color="000000"/>
            </w:tcBorders>
            <w:shd w:val="clear" w:color="auto" w:fill="auto"/>
            <w:vAlign w:val="center"/>
          </w:tcPr>
          <w:p w:rsidR="000A7E4A" w:rsidRDefault="0029199E">
            <w:pPr>
              <w:spacing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Association of agriculture and cattle ranchers</w:t>
            </w:r>
          </w:p>
        </w:tc>
        <w:tc>
          <w:tcPr>
            <w:tcW w:w="1980" w:type="dxa"/>
            <w:tcBorders>
              <w:top w:val="nil"/>
              <w:left w:val="single" w:sz="4" w:space="0" w:color="000000"/>
              <w:bottom w:val="single" w:sz="4" w:space="0" w:color="000000"/>
              <w:right w:val="single" w:sz="4" w:space="0" w:color="000000"/>
            </w:tcBorders>
            <w:shd w:val="clear" w:color="auto" w:fill="auto"/>
            <w:vAlign w:val="center"/>
          </w:tcPr>
          <w:p w:rsidR="000A7E4A" w:rsidRPr="00750F3B" w:rsidRDefault="0029199E" w:rsidP="0029199E">
            <w:pPr>
              <w:spacing w:line="240" w:lineRule="auto"/>
              <w:rPr>
                <w:rFonts w:ascii="Times New Roman" w:eastAsia="Times New Roman" w:hAnsi="Times New Roman" w:cs="Times New Roman"/>
                <w:color w:val="000000"/>
                <w:sz w:val="20"/>
                <w:szCs w:val="20"/>
                <w:highlight w:val="yellow"/>
              </w:rPr>
            </w:pPr>
            <w:r w:rsidRPr="00750F3B">
              <w:rPr>
                <w:rFonts w:ascii="Times New Roman" w:eastAsia="Times New Roman" w:hAnsi="Times New Roman" w:cs="Times New Roman"/>
                <w:color w:val="000000"/>
                <w:sz w:val="20"/>
                <w:szCs w:val="20"/>
                <w:highlight w:val="yellow"/>
              </w:rPr>
              <w:t>6.a. Communication strategy aids in informing agribusiness on the importance of forests for their productive systems.</w:t>
            </w:r>
          </w:p>
        </w:tc>
        <w:tc>
          <w:tcPr>
            <w:tcW w:w="1129" w:type="dxa"/>
            <w:vMerge w:val="restart"/>
            <w:tcBorders>
              <w:top w:val="nil"/>
              <w:left w:val="single" w:sz="8" w:space="0" w:color="000000"/>
              <w:bottom w:val="single" w:sz="4" w:space="0" w:color="000000"/>
              <w:right w:val="single" w:sz="8" w:space="0" w:color="000000"/>
            </w:tcBorders>
            <w:shd w:val="clear" w:color="auto" w:fill="auto"/>
            <w:vAlign w:val="center"/>
          </w:tcPr>
          <w:p w:rsidR="000A7E4A" w:rsidRDefault="0029199E">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Association of agriculture and cattle ranchers</w:t>
            </w:r>
          </w:p>
        </w:tc>
        <w:tc>
          <w:tcPr>
            <w:tcW w:w="1129" w:type="dxa"/>
            <w:vMerge w:val="restart"/>
            <w:tcBorders>
              <w:top w:val="nil"/>
              <w:left w:val="single" w:sz="8" w:space="0" w:color="000000"/>
              <w:bottom w:val="single" w:sz="4" w:space="0" w:color="000000"/>
              <w:right w:val="single" w:sz="8" w:space="0" w:color="000000"/>
            </w:tcBorders>
            <w:shd w:val="clear" w:color="auto" w:fill="auto"/>
            <w:vAlign w:val="center"/>
          </w:tcPr>
          <w:p w:rsidR="000A7E4A" w:rsidRDefault="001E3D64">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C.</w:t>
            </w:r>
            <w:r w:rsidR="0029199E">
              <w:rPr>
                <w:rFonts w:ascii="Times New Roman" w:eastAsia="Times New Roman" w:hAnsi="Times New Roman" w:cs="Times New Roman"/>
                <w:color w:val="000000"/>
                <w:sz w:val="20"/>
                <w:szCs w:val="20"/>
              </w:rPr>
              <w:t> </w:t>
            </w:r>
            <w:r w:rsidR="0029199E">
              <w:rPr>
                <w:rFonts w:ascii="Times New Roman" w:eastAsia="Times New Roman" w:hAnsi="Times New Roman" w:cs="Times New Roman"/>
                <w:sz w:val="20"/>
                <w:szCs w:val="20"/>
              </w:rPr>
              <w:t>Ensure meaningful participation of women and youth.</w:t>
            </w:r>
          </w:p>
        </w:tc>
        <w:tc>
          <w:tcPr>
            <w:tcW w:w="982" w:type="dxa"/>
            <w:vMerge w:val="restart"/>
            <w:tcBorders>
              <w:top w:val="nil"/>
              <w:left w:val="single" w:sz="8" w:space="0" w:color="000000"/>
              <w:bottom w:val="single" w:sz="4" w:space="0" w:color="000000"/>
              <w:right w:val="single" w:sz="8" w:space="0" w:color="000000"/>
            </w:tcBorders>
            <w:shd w:val="clear" w:color="auto" w:fill="auto"/>
            <w:vAlign w:val="center"/>
          </w:tcPr>
          <w:p w:rsidR="000A7E4A" w:rsidRDefault="0029199E">
            <w:pPr>
              <w:spacing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Agrocommodities</w:t>
            </w:r>
          </w:p>
        </w:tc>
        <w:tc>
          <w:tcPr>
            <w:tcW w:w="1199" w:type="dxa"/>
            <w:vMerge w:val="restart"/>
            <w:tcBorders>
              <w:top w:val="nil"/>
              <w:left w:val="single" w:sz="8" w:space="0" w:color="000000"/>
              <w:bottom w:val="single" w:sz="4" w:space="0" w:color="000000"/>
              <w:right w:val="single" w:sz="8" w:space="0" w:color="000000"/>
            </w:tcBorders>
            <w:shd w:val="clear" w:color="auto" w:fill="A9D08E"/>
            <w:vAlign w:val="center"/>
          </w:tcPr>
          <w:p w:rsidR="000A7E4A" w:rsidRDefault="0029199E">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Gender Responsive or Positive</w:t>
            </w:r>
          </w:p>
        </w:tc>
        <w:tc>
          <w:tcPr>
            <w:tcW w:w="704" w:type="dxa"/>
            <w:tcBorders>
              <w:top w:val="nil"/>
              <w:left w:val="nil"/>
              <w:bottom w:val="single" w:sz="4" w:space="0" w:color="000000"/>
              <w:right w:val="single" w:sz="4" w:space="0" w:color="000000"/>
            </w:tcBorders>
            <w:shd w:val="clear" w:color="auto" w:fill="auto"/>
            <w:vAlign w:val="center"/>
          </w:tcPr>
          <w:p w:rsidR="000A7E4A" w:rsidRDefault="0029199E">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2019-2020</w:t>
            </w:r>
          </w:p>
        </w:tc>
        <w:tc>
          <w:tcPr>
            <w:tcW w:w="704" w:type="dxa"/>
            <w:tcBorders>
              <w:top w:val="single" w:sz="4" w:space="0" w:color="000000"/>
              <w:left w:val="single" w:sz="4" w:space="0" w:color="000000"/>
              <w:bottom w:val="single" w:sz="4" w:space="0" w:color="000000"/>
              <w:right w:val="single" w:sz="4" w:space="0" w:color="000000"/>
            </w:tcBorders>
          </w:tcPr>
          <w:p w:rsidR="000A7E4A" w:rsidRDefault="0029199E">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r>
      <w:tr w:rsidR="000A7E4A">
        <w:trPr>
          <w:trHeight w:val="860"/>
        </w:trPr>
        <w:tc>
          <w:tcPr>
            <w:tcW w:w="1226" w:type="dxa"/>
            <w:vMerge/>
            <w:tcBorders>
              <w:top w:val="nil"/>
              <w:left w:val="single" w:sz="8" w:space="0" w:color="000000"/>
              <w:bottom w:val="single" w:sz="4" w:space="0" w:color="000000"/>
              <w:right w:val="single" w:sz="8" w:space="0" w:color="000000"/>
            </w:tcBorders>
            <w:shd w:val="clear" w:color="auto" w:fill="auto"/>
            <w:vAlign w:val="center"/>
          </w:tcPr>
          <w:p w:rsidR="000A7E4A" w:rsidRDefault="000A7E4A">
            <w:pPr>
              <w:widowControl w:val="0"/>
              <w:pBdr>
                <w:top w:val="nil"/>
                <w:left w:val="nil"/>
                <w:bottom w:val="nil"/>
                <w:right w:val="nil"/>
                <w:between w:val="nil"/>
              </w:pBdr>
              <w:spacing w:line="276" w:lineRule="auto"/>
              <w:rPr>
                <w:rFonts w:ascii="Times New Roman" w:eastAsia="Times New Roman" w:hAnsi="Times New Roman" w:cs="Times New Roman"/>
                <w:color w:val="000000"/>
                <w:sz w:val="20"/>
                <w:szCs w:val="20"/>
              </w:rPr>
            </w:pPr>
          </w:p>
        </w:tc>
        <w:tc>
          <w:tcPr>
            <w:tcW w:w="1554" w:type="dxa"/>
            <w:vMerge/>
            <w:tcBorders>
              <w:top w:val="nil"/>
              <w:left w:val="single" w:sz="8" w:space="0" w:color="000000"/>
              <w:bottom w:val="single" w:sz="4" w:space="0" w:color="000000"/>
              <w:right w:val="single" w:sz="8" w:space="0" w:color="000000"/>
            </w:tcBorders>
            <w:shd w:val="clear" w:color="auto" w:fill="auto"/>
            <w:vAlign w:val="center"/>
          </w:tcPr>
          <w:p w:rsidR="000A7E4A" w:rsidRDefault="000A7E4A">
            <w:pPr>
              <w:widowControl w:val="0"/>
              <w:pBdr>
                <w:top w:val="nil"/>
                <w:left w:val="nil"/>
                <w:bottom w:val="nil"/>
                <w:right w:val="nil"/>
                <w:between w:val="nil"/>
              </w:pBdr>
              <w:spacing w:line="276" w:lineRule="auto"/>
              <w:rPr>
                <w:rFonts w:ascii="Times New Roman" w:eastAsia="Times New Roman" w:hAnsi="Times New Roman" w:cs="Times New Roman"/>
                <w:color w:val="000000"/>
                <w:sz w:val="20"/>
                <w:szCs w:val="20"/>
              </w:rPr>
            </w:pPr>
          </w:p>
        </w:tc>
        <w:tc>
          <w:tcPr>
            <w:tcW w:w="1413" w:type="dxa"/>
            <w:vMerge/>
            <w:tcBorders>
              <w:top w:val="nil"/>
              <w:left w:val="single" w:sz="8" w:space="0" w:color="000000"/>
              <w:bottom w:val="single" w:sz="4" w:space="0" w:color="000000"/>
              <w:right w:val="single" w:sz="8" w:space="0" w:color="000000"/>
            </w:tcBorders>
            <w:shd w:val="clear" w:color="auto" w:fill="auto"/>
            <w:vAlign w:val="center"/>
          </w:tcPr>
          <w:p w:rsidR="000A7E4A" w:rsidRDefault="000A7E4A">
            <w:pPr>
              <w:widowControl w:val="0"/>
              <w:pBdr>
                <w:top w:val="nil"/>
                <w:left w:val="nil"/>
                <w:bottom w:val="nil"/>
                <w:right w:val="nil"/>
                <w:between w:val="nil"/>
              </w:pBdr>
              <w:spacing w:line="276" w:lineRule="auto"/>
              <w:rPr>
                <w:rFonts w:ascii="Times New Roman" w:eastAsia="Times New Roman" w:hAnsi="Times New Roman" w:cs="Times New Roman"/>
                <w:color w:val="000000"/>
                <w:sz w:val="20"/>
                <w:szCs w:val="20"/>
              </w:rPr>
            </w:pPr>
          </w:p>
        </w:tc>
        <w:tc>
          <w:tcPr>
            <w:tcW w:w="1412" w:type="dxa"/>
            <w:vMerge/>
            <w:tcBorders>
              <w:top w:val="nil"/>
              <w:left w:val="single" w:sz="8" w:space="0" w:color="000000"/>
              <w:bottom w:val="single" w:sz="4" w:space="0" w:color="000000"/>
              <w:right w:val="single" w:sz="8" w:space="0" w:color="000000"/>
            </w:tcBorders>
            <w:shd w:val="clear" w:color="auto" w:fill="auto"/>
            <w:vAlign w:val="center"/>
          </w:tcPr>
          <w:p w:rsidR="000A7E4A" w:rsidRDefault="000A7E4A">
            <w:pPr>
              <w:widowControl w:val="0"/>
              <w:pBdr>
                <w:top w:val="nil"/>
                <w:left w:val="nil"/>
                <w:bottom w:val="nil"/>
                <w:right w:val="nil"/>
                <w:between w:val="nil"/>
              </w:pBdr>
              <w:spacing w:line="276" w:lineRule="auto"/>
              <w:rPr>
                <w:rFonts w:ascii="Times New Roman" w:eastAsia="Times New Roman" w:hAnsi="Times New Roman" w:cs="Times New Roman"/>
                <w:color w:val="000000"/>
                <w:sz w:val="20"/>
                <w:szCs w:val="20"/>
              </w:rPr>
            </w:pPr>
          </w:p>
        </w:tc>
        <w:tc>
          <w:tcPr>
            <w:tcW w:w="1271" w:type="dxa"/>
            <w:vMerge/>
            <w:tcBorders>
              <w:top w:val="nil"/>
              <w:left w:val="single" w:sz="8" w:space="0" w:color="000000"/>
              <w:bottom w:val="single" w:sz="4" w:space="0" w:color="000000"/>
              <w:right w:val="single" w:sz="8" w:space="0" w:color="000000"/>
            </w:tcBorders>
            <w:shd w:val="clear" w:color="auto" w:fill="auto"/>
            <w:vAlign w:val="center"/>
          </w:tcPr>
          <w:p w:rsidR="000A7E4A" w:rsidRDefault="000A7E4A">
            <w:pPr>
              <w:widowControl w:val="0"/>
              <w:pBdr>
                <w:top w:val="nil"/>
                <w:left w:val="nil"/>
                <w:bottom w:val="nil"/>
                <w:right w:val="nil"/>
                <w:between w:val="nil"/>
              </w:pBdr>
              <w:spacing w:line="276" w:lineRule="auto"/>
              <w:rPr>
                <w:rFonts w:ascii="Times New Roman" w:eastAsia="Times New Roman" w:hAnsi="Times New Roman" w:cs="Times New Roman"/>
                <w:color w:val="000000"/>
                <w:sz w:val="20"/>
                <w:szCs w:val="20"/>
              </w:rPr>
            </w:pPr>
          </w:p>
        </w:tc>
        <w:tc>
          <w:tcPr>
            <w:tcW w:w="1980" w:type="dxa"/>
            <w:tcBorders>
              <w:top w:val="nil"/>
              <w:left w:val="single" w:sz="4" w:space="0" w:color="000000"/>
              <w:bottom w:val="single" w:sz="4" w:space="0" w:color="000000"/>
              <w:right w:val="single" w:sz="4" w:space="0" w:color="000000"/>
            </w:tcBorders>
            <w:shd w:val="clear" w:color="auto" w:fill="auto"/>
            <w:vAlign w:val="center"/>
          </w:tcPr>
          <w:p w:rsidR="000A7E4A" w:rsidRDefault="0029199E" w:rsidP="0029199E">
            <w:pPr>
              <w:spacing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6.b. Water quality study results inform communities and farmers (Agriculture and Peasant Federation of Guarayos) on negative consequences of unchecked agroindustrial production systems on their water sources.</w:t>
            </w:r>
          </w:p>
        </w:tc>
        <w:tc>
          <w:tcPr>
            <w:tcW w:w="1129" w:type="dxa"/>
            <w:vMerge/>
            <w:tcBorders>
              <w:top w:val="nil"/>
              <w:left w:val="single" w:sz="8" w:space="0" w:color="000000"/>
              <w:bottom w:val="single" w:sz="4" w:space="0" w:color="000000"/>
              <w:right w:val="single" w:sz="8" w:space="0" w:color="000000"/>
            </w:tcBorders>
            <w:shd w:val="clear" w:color="auto" w:fill="auto"/>
            <w:vAlign w:val="center"/>
          </w:tcPr>
          <w:p w:rsidR="000A7E4A" w:rsidRDefault="000A7E4A">
            <w:pPr>
              <w:widowControl w:val="0"/>
              <w:pBdr>
                <w:top w:val="nil"/>
                <w:left w:val="nil"/>
                <w:bottom w:val="nil"/>
                <w:right w:val="nil"/>
                <w:between w:val="nil"/>
              </w:pBdr>
              <w:spacing w:line="276" w:lineRule="auto"/>
              <w:rPr>
                <w:rFonts w:ascii="Times New Roman" w:eastAsia="Times New Roman" w:hAnsi="Times New Roman" w:cs="Times New Roman"/>
                <w:color w:val="000000"/>
                <w:sz w:val="20"/>
                <w:szCs w:val="20"/>
              </w:rPr>
            </w:pPr>
          </w:p>
        </w:tc>
        <w:tc>
          <w:tcPr>
            <w:tcW w:w="1129" w:type="dxa"/>
            <w:vMerge/>
            <w:tcBorders>
              <w:top w:val="nil"/>
              <w:left w:val="single" w:sz="8" w:space="0" w:color="000000"/>
              <w:bottom w:val="single" w:sz="4" w:space="0" w:color="000000"/>
              <w:right w:val="single" w:sz="8" w:space="0" w:color="000000"/>
            </w:tcBorders>
            <w:shd w:val="clear" w:color="auto" w:fill="auto"/>
            <w:vAlign w:val="center"/>
          </w:tcPr>
          <w:p w:rsidR="000A7E4A" w:rsidRDefault="000A7E4A">
            <w:pPr>
              <w:widowControl w:val="0"/>
              <w:pBdr>
                <w:top w:val="nil"/>
                <w:left w:val="nil"/>
                <w:bottom w:val="nil"/>
                <w:right w:val="nil"/>
                <w:between w:val="nil"/>
              </w:pBdr>
              <w:spacing w:line="276" w:lineRule="auto"/>
              <w:rPr>
                <w:rFonts w:ascii="Times New Roman" w:eastAsia="Times New Roman" w:hAnsi="Times New Roman" w:cs="Times New Roman"/>
                <w:color w:val="000000"/>
                <w:sz w:val="20"/>
                <w:szCs w:val="20"/>
              </w:rPr>
            </w:pPr>
          </w:p>
        </w:tc>
        <w:tc>
          <w:tcPr>
            <w:tcW w:w="982" w:type="dxa"/>
            <w:vMerge/>
            <w:tcBorders>
              <w:top w:val="nil"/>
              <w:left w:val="single" w:sz="8" w:space="0" w:color="000000"/>
              <w:bottom w:val="single" w:sz="4" w:space="0" w:color="000000"/>
              <w:right w:val="single" w:sz="8" w:space="0" w:color="000000"/>
            </w:tcBorders>
            <w:shd w:val="clear" w:color="auto" w:fill="auto"/>
            <w:vAlign w:val="center"/>
          </w:tcPr>
          <w:p w:rsidR="000A7E4A" w:rsidRDefault="000A7E4A">
            <w:pPr>
              <w:widowControl w:val="0"/>
              <w:pBdr>
                <w:top w:val="nil"/>
                <w:left w:val="nil"/>
                <w:bottom w:val="nil"/>
                <w:right w:val="nil"/>
                <w:between w:val="nil"/>
              </w:pBdr>
              <w:spacing w:line="276" w:lineRule="auto"/>
              <w:rPr>
                <w:rFonts w:ascii="Times New Roman" w:eastAsia="Times New Roman" w:hAnsi="Times New Roman" w:cs="Times New Roman"/>
                <w:color w:val="000000"/>
                <w:sz w:val="20"/>
                <w:szCs w:val="20"/>
              </w:rPr>
            </w:pPr>
          </w:p>
        </w:tc>
        <w:tc>
          <w:tcPr>
            <w:tcW w:w="1199" w:type="dxa"/>
            <w:vMerge/>
            <w:tcBorders>
              <w:top w:val="nil"/>
              <w:left w:val="single" w:sz="8" w:space="0" w:color="000000"/>
              <w:bottom w:val="single" w:sz="4" w:space="0" w:color="000000"/>
              <w:right w:val="single" w:sz="8" w:space="0" w:color="000000"/>
            </w:tcBorders>
            <w:shd w:val="clear" w:color="auto" w:fill="A9D08E"/>
            <w:vAlign w:val="center"/>
          </w:tcPr>
          <w:p w:rsidR="000A7E4A" w:rsidRDefault="000A7E4A">
            <w:pPr>
              <w:widowControl w:val="0"/>
              <w:pBdr>
                <w:top w:val="nil"/>
                <w:left w:val="nil"/>
                <w:bottom w:val="nil"/>
                <w:right w:val="nil"/>
                <w:between w:val="nil"/>
              </w:pBdr>
              <w:spacing w:line="276" w:lineRule="auto"/>
              <w:rPr>
                <w:rFonts w:ascii="Times New Roman" w:eastAsia="Times New Roman" w:hAnsi="Times New Roman" w:cs="Times New Roman"/>
                <w:color w:val="000000"/>
                <w:sz w:val="20"/>
                <w:szCs w:val="20"/>
              </w:rPr>
            </w:pPr>
          </w:p>
        </w:tc>
        <w:tc>
          <w:tcPr>
            <w:tcW w:w="704" w:type="dxa"/>
            <w:tcBorders>
              <w:top w:val="nil"/>
              <w:left w:val="nil"/>
              <w:bottom w:val="single" w:sz="4" w:space="0" w:color="000000"/>
              <w:right w:val="single" w:sz="4" w:space="0" w:color="000000"/>
            </w:tcBorders>
            <w:shd w:val="clear" w:color="auto" w:fill="auto"/>
            <w:vAlign w:val="center"/>
          </w:tcPr>
          <w:p w:rsidR="000A7E4A" w:rsidRDefault="0029199E">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2020</w:t>
            </w:r>
          </w:p>
        </w:tc>
        <w:tc>
          <w:tcPr>
            <w:tcW w:w="704" w:type="dxa"/>
            <w:tcBorders>
              <w:top w:val="single" w:sz="4" w:space="0" w:color="000000"/>
              <w:left w:val="single" w:sz="4" w:space="0" w:color="000000"/>
              <w:bottom w:val="single" w:sz="4" w:space="0" w:color="000000"/>
              <w:right w:val="single" w:sz="4" w:space="0" w:color="000000"/>
            </w:tcBorders>
          </w:tcPr>
          <w:p w:rsidR="000A7E4A" w:rsidRDefault="0029199E">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r>
      <w:tr w:rsidR="000A7E4A">
        <w:trPr>
          <w:trHeight w:val="1160"/>
        </w:trPr>
        <w:tc>
          <w:tcPr>
            <w:tcW w:w="1226" w:type="dxa"/>
            <w:vMerge/>
            <w:tcBorders>
              <w:top w:val="nil"/>
              <w:left w:val="single" w:sz="8" w:space="0" w:color="000000"/>
              <w:bottom w:val="single" w:sz="4" w:space="0" w:color="000000"/>
              <w:right w:val="single" w:sz="8" w:space="0" w:color="000000"/>
            </w:tcBorders>
            <w:shd w:val="clear" w:color="auto" w:fill="auto"/>
            <w:vAlign w:val="center"/>
          </w:tcPr>
          <w:p w:rsidR="000A7E4A" w:rsidRDefault="000A7E4A">
            <w:pPr>
              <w:widowControl w:val="0"/>
              <w:pBdr>
                <w:top w:val="nil"/>
                <w:left w:val="nil"/>
                <w:bottom w:val="nil"/>
                <w:right w:val="nil"/>
                <w:between w:val="nil"/>
              </w:pBdr>
              <w:spacing w:line="276" w:lineRule="auto"/>
              <w:rPr>
                <w:rFonts w:ascii="Times New Roman" w:eastAsia="Times New Roman" w:hAnsi="Times New Roman" w:cs="Times New Roman"/>
                <w:color w:val="000000"/>
                <w:sz w:val="20"/>
                <w:szCs w:val="20"/>
              </w:rPr>
            </w:pPr>
          </w:p>
        </w:tc>
        <w:tc>
          <w:tcPr>
            <w:tcW w:w="1554" w:type="dxa"/>
            <w:vMerge/>
            <w:tcBorders>
              <w:top w:val="nil"/>
              <w:left w:val="single" w:sz="8" w:space="0" w:color="000000"/>
              <w:bottom w:val="single" w:sz="4" w:space="0" w:color="000000"/>
              <w:right w:val="single" w:sz="8" w:space="0" w:color="000000"/>
            </w:tcBorders>
            <w:shd w:val="clear" w:color="auto" w:fill="auto"/>
            <w:vAlign w:val="center"/>
          </w:tcPr>
          <w:p w:rsidR="000A7E4A" w:rsidRDefault="000A7E4A">
            <w:pPr>
              <w:widowControl w:val="0"/>
              <w:pBdr>
                <w:top w:val="nil"/>
                <w:left w:val="nil"/>
                <w:bottom w:val="nil"/>
                <w:right w:val="nil"/>
                <w:between w:val="nil"/>
              </w:pBdr>
              <w:spacing w:line="276" w:lineRule="auto"/>
              <w:rPr>
                <w:rFonts w:ascii="Times New Roman" w:eastAsia="Times New Roman" w:hAnsi="Times New Roman" w:cs="Times New Roman"/>
                <w:color w:val="000000"/>
                <w:sz w:val="20"/>
                <w:szCs w:val="20"/>
              </w:rPr>
            </w:pPr>
          </w:p>
        </w:tc>
        <w:tc>
          <w:tcPr>
            <w:tcW w:w="1413" w:type="dxa"/>
            <w:vMerge/>
            <w:tcBorders>
              <w:top w:val="nil"/>
              <w:left w:val="single" w:sz="8" w:space="0" w:color="000000"/>
              <w:bottom w:val="single" w:sz="4" w:space="0" w:color="000000"/>
              <w:right w:val="single" w:sz="8" w:space="0" w:color="000000"/>
            </w:tcBorders>
            <w:shd w:val="clear" w:color="auto" w:fill="auto"/>
            <w:vAlign w:val="center"/>
          </w:tcPr>
          <w:p w:rsidR="000A7E4A" w:rsidRDefault="000A7E4A">
            <w:pPr>
              <w:widowControl w:val="0"/>
              <w:pBdr>
                <w:top w:val="nil"/>
                <w:left w:val="nil"/>
                <w:bottom w:val="nil"/>
                <w:right w:val="nil"/>
                <w:between w:val="nil"/>
              </w:pBdr>
              <w:spacing w:line="276" w:lineRule="auto"/>
              <w:rPr>
                <w:rFonts w:ascii="Times New Roman" w:eastAsia="Times New Roman" w:hAnsi="Times New Roman" w:cs="Times New Roman"/>
                <w:color w:val="000000"/>
                <w:sz w:val="20"/>
                <w:szCs w:val="20"/>
              </w:rPr>
            </w:pPr>
          </w:p>
        </w:tc>
        <w:tc>
          <w:tcPr>
            <w:tcW w:w="1412" w:type="dxa"/>
            <w:vMerge/>
            <w:tcBorders>
              <w:top w:val="nil"/>
              <w:left w:val="single" w:sz="8" w:space="0" w:color="000000"/>
              <w:bottom w:val="single" w:sz="4" w:space="0" w:color="000000"/>
              <w:right w:val="single" w:sz="8" w:space="0" w:color="000000"/>
            </w:tcBorders>
            <w:shd w:val="clear" w:color="auto" w:fill="auto"/>
            <w:vAlign w:val="center"/>
          </w:tcPr>
          <w:p w:rsidR="000A7E4A" w:rsidRDefault="000A7E4A">
            <w:pPr>
              <w:widowControl w:val="0"/>
              <w:pBdr>
                <w:top w:val="nil"/>
                <w:left w:val="nil"/>
                <w:bottom w:val="nil"/>
                <w:right w:val="nil"/>
                <w:between w:val="nil"/>
              </w:pBdr>
              <w:spacing w:line="276" w:lineRule="auto"/>
              <w:rPr>
                <w:rFonts w:ascii="Times New Roman" w:eastAsia="Times New Roman" w:hAnsi="Times New Roman" w:cs="Times New Roman"/>
                <w:color w:val="000000"/>
                <w:sz w:val="20"/>
                <w:szCs w:val="20"/>
              </w:rPr>
            </w:pPr>
          </w:p>
        </w:tc>
        <w:tc>
          <w:tcPr>
            <w:tcW w:w="1271" w:type="dxa"/>
            <w:vMerge/>
            <w:tcBorders>
              <w:top w:val="nil"/>
              <w:left w:val="single" w:sz="8" w:space="0" w:color="000000"/>
              <w:bottom w:val="single" w:sz="4" w:space="0" w:color="000000"/>
              <w:right w:val="single" w:sz="8" w:space="0" w:color="000000"/>
            </w:tcBorders>
            <w:shd w:val="clear" w:color="auto" w:fill="auto"/>
            <w:vAlign w:val="center"/>
          </w:tcPr>
          <w:p w:rsidR="000A7E4A" w:rsidRDefault="000A7E4A">
            <w:pPr>
              <w:widowControl w:val="0"/>
              <w:pBdr>
                <w:top w:val="nil"/>
                <w:left w:val="nil"/>
                <w:bottom w:val="nil"/>
                <w:right w:val="nil"/>
                <w:between w:val="nil"/>
              </w:pBdr>
              <w:spacing w:line="276" w:lineRule="auto"/>
              <w:rPr>
                <w:rFonts w:ascii="Times New Roman" w:eastAsia="Times New Roman" w:hAnsi="Times New Roman" w:cs="Times New Roman"/>
                <w:color w:val="000000"/>
                <w:sz w:val="20"/>
                <w:szCs w:val="20"/>
              </w:rPr>
            </w:pPr>
          </w:p>
        </w:tc>
        <w:tc>
          <w:tcPr>
            <w:tcW w:w="1980" w:type="dxa"/>
            <w:tcBorders>
              <w:top w:val="nil"/>
              <w:left w:val="single" w:sz="4" w:space="0" w:color="000000"/>
              <w:bottom w:val="single" w:sz="4" w:space="0" w:color="000000"/>
              <w:right w:val="single" w:sz="4" w:space="0" w:color="000000"/>
            </w:tcBorders>
            <w:shd w:val="clear" w:color="auto" w:fill="auto"/>
            <w:vAlign w:val="center"/>
          </w:tcPr>
          <w:p w:rsidR="000A7E4A" w:rsidRDefault="000A7E4A" w:rsidP="0029199E">
            <w:pPr>
              <w:spacing w:line="240" w:lineRule="auto"/>
              <w:rPr>
                <w:rFonts w:ascii="Times New Roman" w:eastAsia="Times New Roman" w:hAnsi="Times New Roman" w:cs="Times New Roman"/>
                <w:color w:val="000000"/>
                <w:sz w:val="20"/>
                <w:szCs w:val="20"/>
              </w:rPr>
            </w:pPr>
          </w:p>
        </w:tc>
        <w:tc>
          <w:tcPr>
            <w:tcW w:w="1129" w:type="dxa"/>
            <w:vMerge/>
            <w:tcBorders>
              <w:top w:val="nil"/>
              <w:left w:val="single" w:sz="8" w:space="0" w:color="000000"/>
              <w:bottom w:val="single" w:sz="4" w:space="0" w:color="000000"/>
              <w:right w:val="single" w:sz="8" w:space="0" w:color="000000"/>
            </w:tcBorders>
            <w:shd w:val="clear" w:color="auto" w:fill="auto"/>
            <w:vAlign w:val="center"/>
          </w:tcPr>
          <w:p w:rsidR="000A7E4A" w:rsidRDefault="000A7E4A">
            <w:pPr>
              <w:widowControl w:val="0"/>
              <w:pBdr>
                <w:top w:val="nil"/>
                <w:left w:val="nil"/>
                <w:bottom w:val="nil"/>
                <w:right w:val="nil"/>
                <w:between w:val="nil"/>
              </w:pBdr>
              <w:spacing w:line="276" w:lineRule="auto"/>
              <w:rPr>
                <w:rFonts w:ascii="Times New Roman" w:eastAsia="Times New Roman" w:hAnsi="Times New Roman" w:cs="Times New Roman"/>
                <w:color w:val="000000"/>
                <w:sz w:val="20"/>
                <w:szCs w:val="20"/>
              </w:rPr>
            </w:pPr>
          </w:p>
        </w:tc>
        <w:tc>
          <w:tcPr>
            <w:tcW w:w="1129" w:type="dxa"/>
            <w:vMerge/>
            <w:tcBorders>
              <w:top w:val="nil"/>
              <w:left w:val="single" w:sz="8" w:space="0" w:color="000000"/>
              <w:bottom w:val="single" w:sz="4" w:space="0" w:color="000000"/>
              <w:right w:val="single" w:sz="8" w:space="0" w:color="000000"/>
            </w:tcBorders>
            <w:shd w:val="clear" w:color="auto" w:fill="auto"/>
            <w:vAlign w:val="center"/>
          </w:tcPr>
          <w:p w:rsidR="000A7E4A" w:rsidRDefault="000A7E4A">
            <w:pPr>
              <w:widowControl w:val="0"/>
              <w:pBdr>
                <w:top w:val="nil"/>
                <w:left w:val="nil"/>
                <w:bottom w:val="nil"/>
                <w:right w:val="nil"/>
                <w:between w:val="nil"/>
              </w:pBdr>
              <w:spacing w:line="276" w:lineRule="auto"/>
              <w:rPr>
                <w:rFonts w:ascii="Times New Roman" w:eastAsia="Times New Roman" w:hAnsi="Times New Roman" w:cs="Times New Roman"/>
                <w:color w:val="000000"/>
                <w:sz w:val="20"/>
                <w:szCs w:val="20"/>
              </w:rPr>
            </w:pPr>
          </w:p>
        </w:tc>
        <w:tc>
          <w:tcPr>
            <w:tcW w:w="982" w:type="dxa"/>
            <w:vMerge/>
            <w:tcBorders>
              <w:top w:val="nil"/>
              <w:left w:val="single" w:sz="8" w:space="0" w:color="000000"/>
              <w:bottom w:val="single" w:sz="4" w:space="0" w:color="000000"/>
              <w:right w:val="single" w:sz="8" w:space="0" w:color="000000"/>
            </w:tcBorders>
            <w:shd w:val="clear" w:color="auto" w:fill="auto"/>
            <w:vAlign w:val="center"/>
          </w:tcPr>
          <w:p w:rsidR="000A7E4A" w:rsidRDefault="000A7E4A">
            <w:pPr>
              <w:widowControl w:val="0"/>
              <w:pBdr>
                <w:top w:val="nil"/>
                <w:left w:val="nil"/>
                <w:bottom w:val="nil"/>
                <w:right w:val="nil"/>
                <w:between w:val="nil"/>
              </w:pBdr>
              <w:spacing w:line="276" w:lineRule="auto"/>
              <w:rPr>
                <w:rFonts w:ascii="Times New Roman" w:eastAsia="Times New Roman" w:hAnsi="Times New Roman" w:cs="Times New Roman"/>
                <w:color w:val="000000"/>
                <w:sz w:val="20"/>
                <w:szCs w:val="20"/>
              </w:rPr>
            </w:pPr>
          </w:p>
        </w:tc>
        <w:tc>
          <w:tcPr>
            <w:tcW w:w="1199" w:type="dxa"/>
            <w:vMerge/>
            <w:tcBorders>
              <w:top w:val="nil"/>
              <w:left w:val="single" w:sz="8" w:space="0" w:color="000000"/>
              <w:bottom w:val="single" w:sz="4" w:space="0" w:color="000000"/>
              <w:right w:val="single" w:sz="8" w:space="0" w:color="000000"/>
            </w:tcBorders>
            <w:shd w:val="clear" w:color="auto" w:fill="A9D08E"/>
            <w:vAlign w:val="center"/>
          </w:tcPr>
          <w:p w:rsidR="000A7E4A" w:rsidRDefault="000A7E4A">
            <w:pPr>
              <w:widowControl w:val="0"/>
              <w:pBdr>
                <w:top w:val="nil"/>
                <w:left w:val="nil"/>
                <w:bottom w:val="nil"/>
                <w:right w:val="nil"/>
                <w:between w:val="nil"/>
              </w:pBdr>
              <w:spacing w:line="276" w:lineRule="auto"/>
              <w:rPr>
                <w:rFonts w:ascii="Times New Roman" w:eastAsia="Times New Roman" w:hAnsi="Times New Roman" w:cs="Times New Roman"/>
                <w:color w:val="000000"/>
                <w:sz w:val="20"/>
                <w:szCs w:val="20"/>
              </w:rPr>
            </w:pPr>
          </w:p>
        </w:tc>
        <w:tc>
          <w:tcPr>
            <w:tcW w:w="704" w:type="dxa"/>
            <w:tcBorders>
              <w:top w:val="nil"/>
              <w:left w:val="nil"/>
              <w:bottom w:val="single" w:sz="4" w:space="0" w:color="000000"/>
              <w:right w:val="single" w:sz="4" w:space="0" w:color="000000"/>
            </w:tcBorders>
            <w:shd w:val="clear" w:color="auto" w:fill="auto"/>
            <w:vAlign w:val="center"/>
          </w:tcPr>
          <w:p w:rsidR="000A7E4A" w:rsidRDefault="0029199E">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2020</w:t>
            </w:r>
          </w:p>
        </w:tc>
        <w:tc>
          <w:tcPr>
            <w:tcW w:w="704" w:type="dxa"/>
            <w:tcBorders>
              <w:top w:val="single" w:sz="4" w:space="0" w:color="000000"/>
              <w:left w:val="single" w:sz="4" w:space="0" w:color="000000"/>
              <w:bottom w:val="single" w:sz="4" w:space="0" w:color="000000"/>
              <w:right w:val="single" w:sz="4" w:space="0" w:color="000000"/>
            </w:tcBorders>
          </w:tcPr>
          <w:p w:rsidR="000A7E4A" w:rsidRDefault="0029199E">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r>
      <w:tr w:rsidR="000A7E4A">
        <w:trPr>
          <w:trHeight w:val="1080"/>
        </w:trPr>
        <w:tc>
          <w:tcPr>
            <w:tcW w:w="1226" w:type="dxa"/>
            <w:vMerge/>
            <w:tcBorders>
              <w:top w:val="nil"/>
              <w:left w:val="single" w:sz="8" w:space="0" w:color="000000"/>
              <w:bottom w:val="single" w:sz="4" w:space="0" w:color="000000"/>
              <w:right w:val="single" w:sz="8" w:space="0" w:color="000000"/>
            </w:tcBorders>
            <w:shd w:val="clear" w:color="auto" w:fill="auto"/>
            <w:vAlign w:val="center"/>
          </w:tcPr>
          <w:p w:rsidR="000A7E4A" w:rsidRDefault="000A7E4A">
            <w:pPr>
              <w:widowControl w:val="0"/>
              <w:pBdr>
                <w:top w:val="nil"/>
                <w:left w:val="nil"/>
                <w:bottom w:val="nil"/>
                <w:right w:val="nil"/>
                <w:between w:val="nil"/>
              </w:pBdr>
              <w:spacing w:line="276" w:lineRule="auto"/>
              <w:rPr>
                <w:rFonts w:ascii="Times New Roman" w:eastAsia="Times New Roman" w:hAnsi="Times New Roman" w:cs="Times New Roman"/>
                <w:color w:val="000000"/>
                <w:sz w:val="20"/>
                <w:szCs w:val="20"/>
              </w:rPr>
            </w:pPr>
          </w:p>
        </w:tc>
        <w:tc>
          <w:tcPr>
            <w:tcW w:w="1554" w:type="dxa"/>
            <w:vMerge/>
            <w:tcBorders>
              <w:top w:val="nil"/>
              <w:left w:val="single" w:sz="8" w:space="0" w:color="000000"/>
              <w:bottom w:val="single" w:sz="4" w:space="0" w:color="000000"/>
              <w:right w:val="single" w:sz="8" w:space="0" w:color="000000"/>
            </w:tcBorders>
            <w:shd w:val="clear" w:color="auto" w:fill="auto"/>
            <w:vAlign w:val="center"/>
          </w:tcPr>
          <w:p w:rsidR="000A7E4A" w:rsidRDefault="000A7E4A">
            <w:pPr>
              <w:widowControl w:val="0"/>
              <w:pBdr>
                <w:top w:val="nil"/>
                <w:left w:val="nil"/>
                <w:bottom w:val="nil"/>
                <w:right w:val="nil"/>
                <w:between w:val="nil"/>
              </w:pBdr>
              <w:spacing w:line="276" w:lineRule="auto"/>
              <w:rPr>
                <w:rFonts w:ascii="Times New Roman" w:eastAsia="Times New Roman" w:hAnsi="Times New Roman" w:cs="Times New Roman"/>
                <w:color w:val="000000"/>
                <w:sz w:val="20"/>
                <w:szCs w:val="20"/>
              </w:rPr>
            </w:pPr>
          </w:p>
        </w:tc>
        <w:tc>
          <w:tcPr>
            <w:tcW w:w="1413" w:type="dxa"/>
            <w:vMerge/>
            <w:tcBorders>
              <w:top w:val="nil"/>
              <w:left w:val="single" w:sz="8" w:space="0" w:color="000000"/>
              <w:bottom w:val="single" w:sz="4" w:space="0" w:color="000000"/>
              <w:right w:val="single" w:sz="8" w:space="0" w:color="000000"/>
            </w:tcBorders>
            <w:shd w:val="clear" w:color="auto" w:fill="auto"/>
            <w:vAlign w:val="center"/>
          </w:tcPr>
          <w:p w:rsidR="000A7E4A" w:rsidRDefault="000A7E4A">
            <w:pPr>
              <w:widowControl w:val="0"/>
              <w:pBdr>
                <w:top w:val="nil"/>
                <w:left w:val="nil"/>
                <w:bottom w:val="nil"/>
                <w:right w:val="nil"/>
                <w:between w:val="nil"/>
              </w:pBdr>
              <w:spacing w:line="276" w:lineRule="auto"/>
              <w:rPr>
                <w:rFonts w:ascii="Times New Roman" w:eastAsia="Times New Roman" w:hAnsi="Times New Roman" w:cs="Times New Roman"/>
                <w:color w:val="000000"/>
                <w:sz w:val="20"/>
                <w:szCs w:val="20"/>
              </w:rPr>
            </w:pPr>
          </w:p>
        </w:tc>
        <w:tc>
          <w:tcPr>
            <w:tcW w:w="1412" w:type="dxa"/>
            <w:vMerge/>
            <w:tcBorders>
              <w:top w:val="nil"/>
              <w:left w:val="single" w:sz="8" w:space="0" w:color="000000"/>
              <w:bottom w:val="single" w:sz="4" w:space="0" w:color="000000"/>
              <w:right w:val="single" w:sz="8" w:space="0" w:color="000000"/>
            </w:tcBorders>
            <w:shd w:val="clear" w:color="auto" w:fill="auto"/>
            <w:vAlign w:val="center"/>
          </w:tcPr>
          <w:p w:rsidR="000A7E4A" w:rsidRDefault="000A7E4A">
            <w:pPr>
              <w:widowControl w:val="0"/>
              <w:pBdr>
                <w:top w:val="nil"/>
                <w:left w:val="nil"/>
                <w:bottom w:val="nil"/>
                <w:right w:val="nil"/>
                <w:between w:val="nil"/>
              </w:pBdr>
              <w:spacing w:line="276" w:lineRule="auto"/>
              <w:rPr>
                <w:rFonts w:ascii="Times New Roman" w:eastAsia="Times New Roman" w:hAnsi="Times New Roman" w:cs="Times New Roman"/>
                <w:color w:val="000000"/>
                <w:sz w:val="20"/>
                <w:szCs w:val="20"/>
              </w:rPr>
            </w:pPr>
          </w:p>
        </w:tc>
        <w:tc>
          <w:tcPr>
            <w:tcW w:w="1271" w:type="dxa"/>
            <w:vMerge/>
            <w:tcBorders>
              <w:top w:val="nil"/>
              <w:left w:val="single" w:sz="8" w:space="0" w:color="000000"/>
              <w:bottom w:val="single" w:sz="4" w:space="0" w:color="000000"/>
              <w:right w:val="single" w:sz="8" w:space="0" w:color="000000"/>
            </w:tcBorders>
            <w:shd w:val="clear" w:color="auto" w:fill="auto"/>
            <w:vAlign w:val="center"/>
          </w:tcPr>
          <w:p w:rsidR="000A7E4A" w:rsidRDefault="000A7E4A">
            <w:pPr>
              <w:widowControl w:val="0"/>
              <w:pBdr>
                <w:top w:val="nil"/>
                <w:left w:val="nil"/>
                <w:bottom w:val="nil"/>
                <w:right w:val="nil"/>
                <w:between w:val="nil"/>
              </w:pBdr>
              <w:spacing w:line="276" w:lineRule="auto"/>
              <w:rPr>
                <w:rFonts w:ascii="Times New Roman" w:eastAsia="Times New Roman" w:hAnsi="Times New Roman" w:cs="Times New Roman"/>
                <w:color w:val="000000"/>
                <w:sz w:val="20"/>
                <w:szCs w:val="20"/>
              </w:rPr>
            </w:pPr>
          </w:p>
        </w:tc>
        <w:tc>
          <w:tcPr>
            <w:tcW w:w="1980" w:type="dxa"/>
            <w:tcBorders>
              <w:top w:val="nil"/>
              <w:left w:val="single" w:sz="4" w:space="0" w:color="000000"/>
              <w:bottom w:val="single" w:sz="4" w:space="0" w:color="000000"/>
              <w:right w:val="single" w:sz="4" w:space="0" w:color="000000"/>
            </w:tcBorders>
            <w:shd w:val="clear" w:color="auto" w:fill="auto"/>
            <w:vAlign w:val="center"/>
          </w:tcPr>
          <w:p w:rsidR="000A7E4A" w:rsidRDefault="000A7E4A" w:rsidP="001E3D64">
            <w:pPr>
              <w:spacing w:line="240" w:lineRule="auto"/>
              <w:rPr>
                <w:rFonts w:ascii="Times New Roman" w:eastAsia="Times New Roman" w:hAnsi="Times New Roman" w:cs="Times New Roman"/>
                <w:color w:val="000000"/>
                <w:sz w:val="20"/>
                <w:szCs w:val="20"/>
              </w:rPr>
            </w:pPr>
          </w:p>
        </w:tc>
        <w:tc>
          <w:tcPr>
            <w:tcW w:w="1129" w:type="dxa"/>
            <w:vMerge/>
            <w:tcBorders>
              <w:top w:val="nil"/>
              <w:left w:val="single" w:sz="8" w:space="0" w:color="000000"/>
              <w:bottom w:val="single" w:sz="4" w:space="0" w:color="000000"/>
              <w:right w:val="single" w:sz="8" w:space="0" w:color="000000"/>
            </w:tcBorders>
            <w:shd w:val="clear" w:color="auto" w:fill="auto"/>
            <w:vAlign w:val="center"/>
          </w:tcPr>
          <w:p w:rsidR="000A7E4A" w:rsidRDefault="000A7E4A">
            <w:pPr>
              <w:widowControl w:val="0"/>
              <w:pBdr>
                <w:top w:val="nil"/>
                <w:left w:val="nil"/>
                <w:bottom w:val="nil"/>
                <w:right w:val="nil"/>
                <w:between w:val="nil"/>
              </w:pBdr>
              <w:spacing w:line="276" w:lineRule="auto"/>
              <w:rPr>
                <w:rFonts w:ascii="Times New Roman" w:eastAsia="Times New Roman" w:hAnsi="Times New Roman" w:cs="Times New Roman"/>
                <w:color w:val="000000"/>
                <w:sz w:val="20"/>
                <w:szCs w:val="20"/>
              </w:rPr>
            </w:pPr>
          </w:p>
        </w:tc>
        <w:tc>
          <w:tcPr>
            <w:tcW w:w="1129" w:type="dxa"/>
            <w:vMerge/>
            <w:tcBorders>
              <w:top w:val="nil"/>
              <w:left w:val="single" w:sz="8" w:space="0" w:color="000000"/>
              <w:bottom w:val="single" w:sz="4" w:space="0" w:color="000000"/>
              <w:right w:val="single" w:sz="8" w:space="0" w:color="000000"/>
            </w:tcBorders>
            <w:shd w:val="clear" w:color="auto" w:fill="auto"/>
            <w:vAlign w:val="center"/>
          </w:tcPr>
          <w:p w:rsidR="000A7E4A" w:rsidRDefault="000A7E4A">
            <w:pPr>
              <w:widowControl w:val="0"/>
              <w:pBdr>
                <w:top w:val="nil"/>
                <w:left w:val="nil"/>
                <w:bottom w:val="nil"/>
                <w:right w:val="nil"/>
                <w:between w:val="nil"/>
              </w:pBdr>
              <w:spacing w:line="276" w:lineRule="auto"/>
              <w:rPr>
                <w:rFonts w:ascii="Times New Roman" w:eastAsia="Times New Roman" w:hAnsi="Times New Roman" w:cs="Times New Roman"/>
                <w:color w:val="000000"/>
                <w:sz w:val="20"/>
                <w:szCs w:val="20"/>
              </w:rPr>
            </w:pPr>
          </w:p>
        </w:tc>
        <w:tc>
          <w:tcPr>
            <w:tcW w:w="982" w:type="dxa"/>
            <w:vMerge/>
            <w:tcBorders>
              <w:top w:val="nil"/>
              <w:left w:val="single" w:sz="8" w:space="0" w:color="000000"/>
              <w:bottom w:val="single" w:sz="4" w:space="0" w:color="000000"/>
              <w:right w:val="single" w:sz="8" w:space="0" w:color="000000"/>
            </w:tcBorders>
            <w:shd w:val="clear" w:color="auto" w:fill="auto"/>
            <w:vAlign w:val="center"/>
          </w:tcPr>
          <w:p w:rsidR="000A7E4A" w:rsidRDefault="000A7E4A">
            <w:pPr>
              <w:widowControl w:val="0"/>
              <w:pBdr>
                <w:top w:val="nil"/>
                <w:left w:val="nil"/>
                <w:bottom w:val="nil"/>
                <w:right w:val="nil"/>
                <w:between w:val="nil"/>
              </w:pBdr>
              <w:spacing w:line="276" w:lineRule="auto"/>
              <w:rPr>
                <w:rFonts w:ascii="Times New Roman" w:eastAsia="Times New Roman" w:hAnsi="Times New Roman" w:cs="Times New Roman"/>
                <w:color w:val="000000"/>
                <w:sz w:val="20"/>
                <w:szCs w:val="20"/>
              </w:rPr>
            </w:pPr>
          </w:p>
        </w:tc>
        <w:tc>
          <w:tcPr>
            <w:tcW w:w="1199" w:type="dxa"/>
            <w:vMerge/>
            <w:tcBorders>
              <w:top w:val="nil"/>
              <w:left w:val="single" w:sz="8" w:space="0" w:color="000000"/>
              <w:bottom w:val="single" w:sz="4" w:space="0" w:color="000000"/>
              <w:right w:val="single" w:sz="8" w:space="0" w:color="000000"/>
            </w:tcBorders>
            <w:shd w:val="clear" w:color="auto" w:fill="A9D08E"/>
            <w:vAlign w:val="center"/>
          </w:tcPr>
          <w:p w:rsidR="000A7E4A" w:rsidRDefault="000A7E4A">
            <w:pPr>
              <w:widowControl w:val="0"/>
              <w:pBdr>
                <w:top w:val="nil"/>
                <w:left w:val="nil"/>
                <w:bottom w:val="nil"/>
                <w:right w:val="nil"/>
                <w:between w:val="nil"/>
              </w:pBdr>
              <w:spacing w:line="276" w:lineRule="auto"/>
              <w:rPr>
                <w:rFonts w:ascii="Times New Roman" w:eastAsia="Times New Roman" w:hAnsi="Times New Roman" w:cs="Times New Roman"/>
                <w:color w:val="000000"/>
                <w:sz w:val="20"/>
                <w:szCs w:val="20"/>
              </w:rPr>
            </w:pPr>
          </w:p>
        </w:tc>
        <w:tc>
          <w:tcPr>
            <w:tcW w:w="704" w:type="dxa"/>
            <w:tcBorders>
              <w:top w:val="nil"/>
              <w:left w:val="nil"/>
              <w:bottom w:val="nil"/>
              <w:right w:val="single" w:sz="4" w:space="0" w:color="000000"/>
            </w:tcBorders>
            <w:shd w:val="clear" w:color="auto" w:fill="auto"/>
            <w:vAlign w:val="center"/>
          </w:tcPr>
          <w:p w:rsidR="000A7E4A" w:rsidRDefault="000A7E4A">
            <w:pPr>
              <w:spacing w:line="240" w:lineRule="auto"/>
              <w:jc w:val="center"/>
              <w:rPr>
                <w:rFonts w:ascii="Times New Roman" w:eastAsia="Times New Roman" w:hAnsi="Times New Roman" w:cs="Times New Roman"/>
                <w:color w:val="000000"/>
                <w:sz w:val="20"/>
                <w:szCs w:val="20"/>
              </w:rPr>
            </w:pPr>
          </w:p>
        </w:tc>
        <w:tc>
          <w:tcPr>
            <w:tcW w:w="704" w:type="dxa"/>
            <w:tcBorders>
              <w:top w:val="single" w:sz="4" w:space="0" w:color="000000"/>
              <w:left w:val="single" w:sz="4" w:space="0" w:color="000000"/>
              <w:bottom w:val="single" w:sz="4" w:space="0" w:color="000000"/>
              <w:right w:val="single" w:sz="4" w:space="0" w:color="000000"/>
            </w:tcBorders>
          </w:tcPr>
          <w:p w:rsidR="000A7E4A" w:rsidRDefault="000A7E4A">
            <w:pPr>
              <w:spacing w:line="240" w:lineRule="auto"/>
              <w:jc w:val="center"/>
              <w:rPr>
                <w:rFonts w:ascii="Times New Roman" w:eastAsia="Times New Roman" w:hAnsi="Times New Roman" w:cs="Times New Roman"/>
                <w:color w:val="000000"/>
                <w:sz w:val="20"/>
                <w:szCs w:val="20"/>
              </w:rPr>
            </w:pPr>
          </w:p>
        </w:tc>
      </w:tr>
      <w:tr w:rsidR="001E3D64">
        <w:trPr>
          <w:trHeight w:val="1200"/>
        </w:trPr>
        <w:tc>
          <w:tcPr>
            <w:tcW w:w="1226" w:type="dxa"/>
            <w:tcBorders>
              <w:top w:val="nil"/>
              <w:left w:val="single" w:sz="8" w:space="0" w:color="000000"/>
              <w:bottom w:val="single" w:sz="4" w:space="0" w:color="000000"/>
              <w:right w:val="single" w:sz="8" w:space="0" w:color="000000"/>
            </w:tcBorders>
            <w:shd w:val="clear" w:color="auto" w:fill="auto"/>
            <w:vAlign w:val="center"/>
          </w:tcPr>
          <w:p w:rsidR="001E3D64" w:rsidRDefault="001E3D64" w:rsidP="001E3D64">
            <w:pPr>
              <w:spacing w:line="240" w:lineRule="auto"/>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8. ABT fully enforces compliance of Guarayos territorial Life Plan, internal regulations and national forest and land policies in the Guarayos indigenpus territory</w:t>
            </w:r>
          </w:p>
        </w:tc>
        <w:tc>
          <w:tcPr>
            <w:tcW w:w="1554" w:type="dxa"/>
            <w:tcBorders>
              <w:top w:val="nil"/>
              <w:left w:val="nil"/>
              <w:bottom w:val="single" w:sz="4" w:space="0" w:color="000000"/>
              <w:right w:val="single" w:sz="8" w:space="0" w:color="000000"/>
            </w:tcBorders>
            <w:shd w:val="clear" w:color="auto" w:fill="auto"/>
            <w:vAlign w:val="center"/>
          </w:tcPr>
          <w:p w:rsidR="001E3D64" w:rsidRDefault="001E3D64" w:rsidP="001E3D64">
            <w:pPr>
              <w:spacing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8.1. ABT starts to apply the new structure and mechanisms for the implementation and enforcement of the new legislations and policies related to indigenous community forest management the landscape</w:t>
            </w:r>
          </w:p>
        </w:tc>
        <w:tc>
          <w:tcPr>
            <w:tcW w:w="1413" w:type="dxa"/>
            <w:tcBorders>
              <w:top w:val="nil"/>
              <w:left w:val="nil"/>
              <w:bottom w:val="single" w:sz="4" w:space="0" w:color="000000"/>
              <w:right w:val="single" w:sz="8" w:space="0" w:color="000000"/>
            </w:tcBorders>
            <w:shd w:val="clear" w:color="auto" w:fill="auto"/>
            <w:vAlign w:val="center"/>
          </w:tcPr>
          <w:p w:rsidR="001E3D64" w:rsidRDefault="001E3D64" w:rsidP="001E3D64">
            <w:pPr>
              <w:spacing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8.4. ABT politically committed to the development or improvement of current legislation and policies related to indigenous community forest management.</w:t>
            </w:r>
          </w:p>
        </w:tc>
        <w:tc>
          <w:tcPr>
            <w:tcW w:w="1412" w:type="dxa"/>
            <w:tcBorders>
              <w:top w:val="nil"/>
              <w:left w:val="nil"/>
              <w:bottom w:val="single" w:sz="4" w:space="0" w:color="000000"/>
              <w:right w:val="single" w:sz="8" w:space="0" w:color="000000"/>
            </w:tcBorders>
            <w:shd w:val="clear" w:color="auto" w:fill="auto"/>
            <w:vAlign w:val="center"/>
          </w:tcPr>
          <w:p w:rsidR="001E3D64" w:rsidRDefault="001E3D64" w:rsidP="001E3D64">
            <w:pPr>
              <w:spacing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8.4. ABT politically committed to the development or improvement of current legislation and policies related to indigenous community forest management.</w:t>
            </w:r>
          </w:p>
        </w:tc>
        <w:tc>
          <w:tcPr>
            <w:tcW w:w="1271" w:type="dxa"/>
            <w:tcBorders>
              <w:top w:val="nil"/>
              <w:left w:val="nil"/>
              <w:bottom w:val="single" w:sz="4" w:space="0" w:color="000000"/>
              <w:right w:val="single" w:sz="8" w:space="0" w:color="000000"/>
            </w:tcBorders>
            <w:shd w:val="clear" w:color="auto" w:fill="auto"/>
            <w:vAlign w:val="center"/>
          </w:tcPr>
          <w:p w:rsidR="001E3D64" w:rsidRDefault="001E3D64" w:rsidP="001E3D64">
            <w:pPr>
              <w:spacing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ABT</w:t>
            </w:r>
          </w:p>
        </w:tc>
        <w:tc>
          <w:tcPr>
            <w:tcW w:w="1980" w:type="dxa"/>
            <w:tcBorders>
              <w:top w:val="nil"/>
              <w:left w:val="single" w:sz="4" w:space="0" w:color="000000"/>
              <w:bottom w:val="single" w:sz="4" w:space="0" w:color="000000"/>
              <w:right w:val="single" w:sz="4" w:space="0" w:color="000000"/>
            </w:tcBorders>
            <w:shd w:val="clear" w:color="auto" w:fill="auto"/>
            <w:vAlign w:val="center"/>
          </w:tcPr>
          <w:p w:rsidR="001E3D64" w:rsidRPr="00750F3B" w:rsidRDefault="001E3D64" w:rsidP="001E3D64">
            <w:pPr>
              <w:spacing w:line="240" w:lineRule="auto"/>
              <w:rPr>
                <w:rFonts w:ascii="Times New Roman" w:eastAsia="Times New Roman" w:hAnsi="Times New Roman" w:cs="Times New Roman"/>
                <w:color w:val="000000"/>
                <w:sz w:val="20"/>
                <w:szCs w:val="20"/>
                <w:highlight w:val="yellow"/>
              </w:rPr>
            </w:pPr>
            <w:r w:rsidRPr="00750F3B">
              <w:rPr>
                <w:rFonts w:ascii="Times New Roman" w:eastAsia="Times New Roman" w:hAnsi="Times New Roman" w:cs="Times New Roman"/>
                <w:color w:val="000000"/>
                <w:sz w:val="20"/>
                <w:szCs w:val="20"/>
                <w:highlight w:val="yellow"/>
              </w:rPr>
              <w:t>8.a. Technical assistance to OFCs on lobbying with the ABT to approve a proposal to  reformulate PGMF using the PMIB database.</w:t>
            </w:r>
          </w:p>
        </w:tc>
        <w:tc>
          <w:tcPr>
            <w:tcW w:w="1129" w:type="dxa"/>
            <w:tcBorders>
              <w:top w:val="nil"/>
              <w:left w:val="single" w:sz="8" w:space="0" w:color="000000"/>
              <w:bottom w:val="single" w:sz="4" w:space="0" w:color="000000"/>
              <w:right w:val="single" w:sz="8" w:space="0" w:color="000000"/>
            </w:tcBorders>
            <w:shd w:val="clear" w:color="auto" w:fill="auto"/>
            <w:vAlign w:val="center"/>
          </w:tcPr>
          <w:p w:rsidR="001E3D64" w:rsidRDefault="001E3D64" w:rsidP="001E3D64">
            <w:pPr>
              <w:spacing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OFCs</w:t>
            </w:r>
          </w:p>
        </w:tc>
        <w:tc>
          <w:tcPr>
            <w:tcW w:w="1129" w:type="dxa"/>
            <w:tcBorders>
              <w:top w:val="nil"/>
              <w:left w:val="nil"/>
              <w:bottom w:val="single" w:sz="4" w:space="0" w:color="000000"/>
              <w:right w:val="single" w:sz="8" w:space="0" w:color="000000"/>
            </w:tcBorders>
            <w:shd w:val="clear" w:color="auto" w:fill="auto"/>
            <w:vAlign w:val="center"/>
          </w:tcPr>
          <w:p w:rsidR="001E3D64" w:rsidRDefault="001E3D64" w:rsidP="001E3D64">
            <w:pPr>
              <w:spacing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E. </w:t>
            </w:r>
            <w:r>
              <w:rPr>
                <w:rFonts w:ascii="Times New Roman" w:eastAsia="Times New Roman" w:hAnsi="Times New Roman" w:cs="Times New Roman"/>
                <w:sz w:val="20"/>
                <w:szCs w:val="20"/>
              </w:rPr>
              <w:t>Intervention informed by an in depth analysis of gender and age differences and how to advance gender and youth equality.</w:t>
            </w:r>
          </w:p>
        </w:tc>
        <w:tc>
          <w:tcPr>
            <w:tcW w:w="982" w:type="dxa"/>
            <w:tcBorders>
              <w:top w:val="nil"/>
              <w:left w:val="nil"/>
              <w:bottom w:val="single" w:sz="4" w:space="0" w:color="000000"/>
              <w:right w:val="single" w:sz="8" w:space="0" w:color="000000"/>
            </w:tcBorders>
            <w:shd w:val="clear" w:color="auto" w:fill="auto"/>
            <w:vAlign w:val="center"/>
          </w:tcPr>
          <w:p w:rsidR="001E3D64" w:rsidRDefault="001E3D64" w:rsidP="001E3D64">
            <w:pPr>
              <w:spacing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NDCs, Business and Finance</w:t>
            </w:r>
          </w:p>
        </w:tc>
        <w:tc>
          <w:tcPr>
            <w:tcW w:w="1199" w:type="dxa"/>
            <w:tcBorders>
              <w:top w:val="nil"/>
              <w:left w:val="nil"/>
              <w:bottom w:val="single" w:sz="4" w:space="0" w:color="000000"/>
              <w:right w:val="single" w:sz="8" w:space="0" w:color="000000"/>
            </w:tcBorders>
            <w:shd w:val="clear" w:color="auto" w:fill="ED7D31"/>
            <w:vAlign w:val="center"/>
          </w:tcPr>
          <w:p w:rsidR="001E3D64" w:rsidRDefault="001E3D64" w:rsidP="001E3D64">
            <w:pPr>
              <w:spacing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Gender Neutral</w:t>
            </w:r>
          </w:p>
        </w:tc>
        <w:tc>
          <w:tcPr>
            <w:tcW w:w="704" w:type="dxa"/>
            <w:tcBorders>
              <w:top w:val="single" w:sz="4" w:space="0" w:color="000000"/>
              <w:left w:val="nil"/>
              <w:bottom w:val="single" w:sz="4" w:space="0" w:color="000000"/>
              <w:right w:val="single" w:sz="4" w:space="0" w:color="000000"/>
            </w:tcBorders>
            <w:shd w:val="clear" w:color="auto" w:fill="auto"/>
            <w:vAlign w:val="center"/>
          </w:tcPr>
          <w:p w:rsidR="001E3D64" w:rsidRDefault="001E3D64" w:rsidP="001E3D64">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2020</w:t>
            </w:r>
          </w:p>
        </w:tc>
        <w:tc>
          <w:tcPr>
            <w:tcW w:w="704" w:type="dxa"/>
            <w:tcBorders>
              <w:top w:val="single" w:sz="4" w:space="0" w:color="000000"/>
              <w:left w:val="single" w:sz="4" w:space="0" w:color="000000"/>
              <w:bottom w:val="single" w:sz="4" w:space="0" w:color="000000"/>
              <w:right w:val="single" w:sz="4" w:space="0" w:color="000000"/>
            </w:tcBorders>
          </w:tcPr>
          <w:p w:rsidR="001E3D64" w:rsidRDefault="001E3D64" w:rsidP="001E3D64">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r>
      <w:tr w:rsidR="001E3D64">
        <w:trPr>
          <w:trHeight w:val="1160"/>
        </w:trPr>
        <w:tc>
          <w:tcPr>
            <w:tcW w:w="1226" w:type="dxa"/>
            <w:tcBorders>
              <w:top w:val="nil"/>
              <w:left w:val="single" w:sz="8" w:space="0" w:color="000000"/>
              <w:bottom w:val="single" w:sz="4" w:space="0" w:color="000000"/>
              <w:right w:val="single" w:sz="8" w:space="0" w:color="000000"/>
            </w:tcBorders>
            <w:shd w:val="clear" w:color="auto" w:fill="auto"/>
            <w:vAlign w:val="center"/>
          </w:tcPr>
          <w:p w:rsidR="001E3D64" w:rsidRDefault="001E3D64" w:rsidP="001E3D64">
            <w:pPr>
              <w:spacing w:line="240" w:lineRule="auto"/>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9. Forest Directorate has approved legislation and policies that favour forestry business partnerships to increase forest benefits and reduce land use change</w:t>
            </w:r>
          </w:p>
        </w:tc>
        <w:tc>
          <w:tcPr>
            <w:tcW w:w="1554" w:type="dxa"/>
            <w:tcBorders>
              <w:top w:val="nil"/>
              <w:left w:val="nil"/>
              <w:bottom w:val="single" w:sz="4" w:space="0" w:color="000000"/>
              <w:right w:val="single" w:sz="8" w:space="0" w:color="000000"/>
            </w:tcBorders>
            <w:shd w:val="clear" w:color="auto" w:fill="auto"/>
            <w:vAlign w:val="center"/>
          </w:tcPr>
          <w:p w:rsidR="001E3D64" w:rsidRDefault="001E3D64" w:rsidP="001E3D64">
            <w:pPr>
              <w:spacing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9.1. Forest Directorate have developed structures/mechanisms for implementation and enforcement legislation and policies that favour forestry business partnerships to increase forest benefits and reduce land use change.</w:t>
            </w:r>
          </w:p>
        </w:tc>
        <w:tc>
          <w:tcPr>
            <w:tcW w:w="1413" w:type="dxa"/>
            <w:tcBorders>
              <w:top w:val="nil"/>
              <w:left w:val="nil"/>
              <w:bottom w:val="single" w:sz="4" w:space="0" w:color="000000"/>
              <w:right w:val="single" w:sz="8" w:space="0" w:color="000000"/>
            </w:tcBorders>
            <w:shd w:val="clear" w:color="auto" w:fill="auto"/>
            <w:vAlign w:val="center"/>
          </w:tcPr>
          <w:p w:rsidR="001E3D64" w:rsidRDefault="001E3D64" w:rsidP="001E3D64">
            <w:pPr>
              <w:spacing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9.4. Forest Directorate politically committed to the development or improvement of current legislation and policies  that favour forestry business partnerships to increase forest benefits and reduce land use change.</w:t>
            </w:r>
          </w:p>
        </w:tc>
        <w:tc>
          <w:tcPr>
            <w:tcW w:w="1412" w:type="dxa"/>
            <w:tcBorders>
              <w:top w:val="nil"/>
              <w:left w:val="nil"/>
              <w:bottom w:val="single" w:sz="4" w:space="0" w:color="000000"/>
              <w:right w:val="single" w:sz="8" w:space="0" w:color="000000"/>
            </w:tcBorders>
            <w:shd w:val="clear" w:color="auto" w:fill="auto"/>
            <w:vAlign w:val="center"/>
          </w:tcPr>
          <w:p w:rsidR="001E3D64" w:rsidRDefault="001E3D64" w:rsidP="001E3D64">
            <w:pPr>
              <w:spacing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9.3. Forest Directorate takes concrete steps in the development of legislation and policies  that favour forestry business partnerships to increase forest benefits and reduce land use change.</w:t>
            </w:r>
          </w:p>
        </w:tc>
        <w:tc>
          <w:tcPr>
            <w:tcW w:w="1271" w:type="dxa"/>
            <w:tcBorders>
              <w:top w:val="nil"/>
              <w:left w:val="nil"/>
              <w:bottom w:val="single" w:sz="4" w:space="0" w:color="000000"/>
              <w:right w:val="single" w:sz="8" w:space="0" w:color="000000"/>
            </w:tcBorders>
            <w:shd w:val="clear" w:color="auto" w:fill="auto"/>
            <w:vAlign w:val="center"/>
          </w:tcPr>
          <w:p w:rsidR="001E3D64" w:rsidRDefault="001E3D64" w:rsidP="001E3D64">
            <w:pPr>
              <w:spacing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Forest Directorate</w:t>
            </w:r>
          </w:p>
        </w:tc>
        <w:tc>
          <w:tcPr>
            <w:tcW w:w="1980" w:type="dxa"/>
            <w:tcBorders>
              <w:top w:val="nil"/>
              <w:left w:val="single" w:sz="4" w:space="0" w:color="000000"/>
              <w:bottom w:val="single" w:sz="4" w:space="0" w:color="000000"/>
              <w:right w:val="single" w:sz="4" w:space="0" w:color="000000"/>
            </w:tcBorders>
            <w:shd w:val="clear" w:color="auto" w:fill="auto"/>
            <w:vAlign w:val="center"/>
          </w:tcPr>
          <w:p w:rsidR="001E3D64" w:rsidRPr="00750F3B" w:rsidRDefault="001E3D64" w:rsidP="001E3D64">
            <w:pPr>
              <w:spacing w:line="240" w:lineRule="auto"/>
              <w:rPr>
                <w:rFonts w:ascii="Times New Roman" w:eastAsia="Times New Roman" w:hAnsi="Times New Roman" w:cs="Times New Roman"/>
                <w:color w:val="000000"/>
                <w:sz w:val="20"/>
                <w:szCs w:val="20"/>
                <w:highlight w:val="yellow"/>
              </w:rPr>
            </w:pPr>
            <w:r w:rsidRPr="00750F3B">
              <w:rPr>
                <w:rFonts w:ascii="Times New Roman" w:eastAsia="Times New Roman" w:hAnsi="Times New Roman" w:cs="Times New Roman"/>
                <w:color w:val="000000"/>
                <w:sz w:val="20"/>
                <w:szCs w:val="20"/>
                <w:highlight w:val="yellow"/>
              </w:rPr>
              <w:t>9.a. Articulate different government entities for the analysis of regulations necessary to enable inclusive businesses between companies and OFCs, and evaluate the alternatives of financial models developed by PROFIN</w:t>
            </w:r>
          </w:p>
        </w:tc>
        <w:tc>
          <w:tcPr>
            <w:tcW w:w="1129" w:type="dxa"/>
            <w:tcBorders>
              <w:top w:val="nil"/>
              <w:left w:val="single" w:sz="8" w:space="0" w:color="000000"/>
              <w:bottom w:val="single" w:sz="4" w:space="0" w:color="000000"/>
              <w:right w:val="single" w:sz="8" w:space="0" w:color="000000"/>
            </w:tcBorders>
            <w:shd w:val="clear" w:color="auto" w:fill="auto"/>
            <w:vAlign w:val="center"/>
          </w:tcPr>
          <w:p w:rsidR="001E3D64" w:rsidRDefault="001E3D64" w:rsidP="001E3D64">
            <w:pPr>
              <w:spacing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ABT, OFCs</w:t>
            </w:r>
          </w:p>
        </w:tc>
        <w:tc>
          <w:tcPr>
            <w:tcW w:w="1129" w:type="dxa"/>
            <w:tcBorders>
              <w:top w:val="nil"/>
              <w:left w:val="nil"/>
              <w:bottom w:val="single" w:sz="4" w:space="0" w:color="000000"/>
              <w:right w:val="single" w:sz="8" w:space="0" w:color="000000"/>
            </w:tcBorders>
            <w:shd w:val="clear" w:color="auto" w:fill="auto"/>
            <w:vAlign w:val="center"/>
          </w:tcPr>
          <w:p w:rsidR="001E3D64" w:rsidRDefault="001E3D64" w:rsidP="001E3D64">
            <w:pPr>
              <w:spacing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E. </w:t>
            </w:r>
            <w:r>
              <w:rPr>
                <w:rFonts w:ascii="Times New Roman" w:eastAsia="Times New Roman" w:hAnsi="Times New Roman" w:cs="Times New Roman"/>
                <w:sz w:val="20"/>
                <w:szCs w:val="20"/>
              </w:rPr>
              <w:t>Intervention informed by an in depth analysis of gender and age differences and how to advance gender and youth equality.</w:t>
            </w:r>
          </w:p>
        </w:tc>
        <w:tc>
          <w:tcPr>
            <w:tcW w:w="982" w:type="dxa"/>
            <w:tcBorders>
              <w:top w:val="nil"/>
              <w:left w:val="nil"/>
              <w:bottom w:val="single" w:sz="4" w:space="0" w:color="000000"/>
              <w:right w:val="single" w:sz="8" w:space="0" w:color="000000"/>
            </w:tcBorders>
            <w:shd w:val="clear" w:color="auto" w:fill="auto"/>
            <w:vAlign w:val="center"/>
          </w:tcPr>
          <w:p w:rsidR="001E3D64" w:rsidRDefault="001E3D64" w:rsidP="001E3D64">
            <w:pPr>
              <w:spacing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NDCs, Business and Finance</w:t>
            </w:r>
          </w:p>
        </w:tc>
        <w:tc>
          <w:tcPr>
            <w:tcW w:w="1199" w:type="dxa"/>
            <w:tcBorders>
              <w:top w:val="nil"/>
              <w:left w:val="nil"/>
              <w:bottom w:val="single" w:sz="4" w:space="0" w:color="000000"/>
              <w:right w:val="single" w:sz="8" w:space="0" w:color="000000"/>
            </w:tcBorders>
            <w:shd w:val="clear" w:color="auto" w:fill="ED7D31"/>
            <w:vAlign w:val="center"/>
          </w:tcPr>
          <w:p w:rsidR="001E3D64" w:rsidRDefault="001E3D64" w:rsidP="001E3D64">
            <w:pPr>
              <w:spacing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Gender Neutral</w:t>
            </w:r>
          </w:p>
        </w:tc>
        <w:tc>
          <w:tcPr>
            <w:tcW w:w="704" w:type="dxa"/>
            <w:tcBorders>
              <w:top w:val="nil"/>
              <w:left w:val="nil"/>
              <w:bottom w:val="single" w:sz="4" w:space="0" w:color="000000"/>
              <w:right w:val="single" w:sz="4" w:space="0" w:color="000000"/>
            </w:tcBorders>
            <w:shd w:val="clear" w:color="auto" w:fill="auto"/>
            <w:vAlign w:val="center"/>
          </w:tcPr>
          <w:p w:rsidR="001E3D64" w:rsidRDefault="001E3D64" w:rsidP="001E3D64">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2020</w:t>
            </w:r>
          </w:p>
        </w:tc>
        <w:tc>
          <w:tcPr>
            <w:tcW w:w="704" w:type="dxa"/>
            <w:tcBorders>
              <w:top w:val="single" w:sz="4" w:space="0" w:color="000000"/>
              <w:left w:val="single" w:sz="4" w:space="0" w:color="000000"/>
              <w:bottom w:val="single" w:sz="4" w:space="0" w:color="000000"/>
              <w:right w:val="single" w:sz="4" w:space="0" w:color="000000"/>
            </w:tcBorders>
          </w:tcPr>
          <w:p w:rsidR="001E3D64" w:rsidRDefault="001E3D64" w:rsidP="001E3D64">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r>
      <w:tr w:rsidR="001E3D64">
        <w:trPr>
          <w:trHeight w:val="780"/>
        </w:trPr>
        <w:tc>
          <w:tcPr>
            <w:tcW w:w="1226" w:type="dxa"/>
            <w:vMerge w:val="restart"/>
            <w:tcBorders>
              <w:top w:val="nil"/>
              <w:left w:val="single" w:sz="8" w:space="0" w:color="000000"/>
              <w:bottom w:val="single" w:sz="4" w:space="0" w:color="000000"/>
              <w:right w:val="single" w:sz="8" w:space="0" w:color="000000"/>
            </w:tcBorders>
            <w:shd w:val="clear" w:color="auto" w:fill="auto"/>
            <w:vAlign w:val="center"/>
          </w:tcPr>
          <w:p w:rsidR="001E3D64" w:rsidRDefault="001E3D64" w:rsidP="001E3D64">
            <w:pPr>
              <w:spacing w:line="240" w:lineRule="auto"/>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xml:space="preserve">10. Financial institutions offer innovative financial mechanisms to facilitate </w:t>
            </w:r>
          </w:p>
        </w:tc>
        <w:tc>
          <w:tcPr>
            <w:tcW w:w="1554" w:type="dxa"/>
            <w:vMerge w:val="restart"/>
            <w:tcBorders>
              <w:top w:val="nil"/>
              <w:left w:val="single" w:sz="8" w:space="0" w:color="000000"/>
              <w:bottom w:val="single" w:sz="4" w:space="0" w:color="000000"/>
              <w:right w:val="single" w:sz="8" w:space="0" w:color="000000"/>
            </w:tcBorders>
            <w:shd w:val="clear" w:color="auto" w:fill="auto"/>
            <w:vAlign w:val="center"/>
          </w:tcPr>
          <w:p w:rsidR="001E3D64" w:rsidRDefault="001E3D64" w:rsidP="001E3D64">
            <w:pPr>
              <w:spacing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 Financial Institutions implement financial mechanisms to facilitate investments in forest-based inclusive business in conjunction with private forest based enterprises, OFCs and other producer organizations.</w:t>
            </w:r>
          </w:p>
        </w:tc>
        <w:tc>
          <w:tcPr>
            <w:tcW w:w="1413" w:type="dxa"/>
            <w:vMerge w:val="restart"/>
            <w:tcBorders>
              <w:top w:val="nil"/>
              <w:left w:val="single" w:sz="8" w:space="0" w:color="000000"/>
              <w:bottom w:val="single" w:sz="4" w:space="0" w:color="000000"/>
              <w:right w:val="single" w:sz="8" w:space="0" w:color="000000"/>
            </w:tcBorders>
            <w:shd w:val="clear" w:color="auto" w:fill="auto"/>
            <w:vAlign w:val="center"/>
          </w:tcPr>
          <w:p w:rsidR="001E3D64" w:rsidRDefault="001E3D64" w:rsidP="001E3D64">
            <w:pPr>
              <w:spacing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10.3. Financial Institutions have increased awareness and receptiveness related to the need to develop and implement new innovative financial services to facilitate investments in forest-based inclusive business in conjunction with private forest based enterprises, AFIs and other producer organizations.</w:t>
            </w:r>
          </w:p>
        </w:tc>
        <w:tc>
          <w:tcPr>
            <w:tcW w:w="1412" w:type="dxa"/>
            <w:vMerge w:val="restart"/>
            <w:tcBorders>
              <w:top w:val="nil"/>
              <w:left w:val="single" w:sz="8" w:space="0" w:color="000000"/>
              <w:bottom w:val="single" w:sz="4" w:space="0" w:color="000000"/>
              <w:right w:val="single" w:sz="8" w:space="0" w:color="000000"/>
            </w:tcBorders>
            <w:shd w:val="clear" w:color="auto" w:fill="auto"/>
            <w:vAlign w:val="center"/>
          </w:tcPr>
          <w:p w:rsidR="001E3D64" w:rsidRDefault="001E3D64" w:rsidP="001E3D64">
            <w:pPr>
              <w:spacing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10.2. Financial Institutions co-develop financial mechanisms to facilitate investments in forest-based inclusive business in conjunction with private forest based enterprises, AFIs and other producer organizations.</w:t>
            </w:r>
          </w:p>
        </w:tc>
        <w:tc>
          <w:tcPr>
            <w:tcW w:w="1271" w:type="dxa"/>
            <w:vMerge w:val="restart"/>
            <w:tcBorders>
              <w:top w:val="nil"/>
              <w:left w:val="single" w:sz="8" w:space="0" w:color="000000"/>
              <w:bottom w:val="single" w:sz="4" w:space="0" w:color="000000"/>
              <w:right w:val="single" w:sz="8" w:space="0" w:color="000000"/>
            </w:tcBorders>
            <w:shd w:val="clear" w:color="auto" w:fill="auto"/>
            <w:vAlign w:val="center"/>
          </w:tcPr>
          <w:p w:rsidR="001E3D64" w:rsidRDefault="001E3D64" w:rsidP="001E3D64">
            <w:pPr>
              <w:spacing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Ministry of Productive Development</w:t>
            </w:r>
          </w:p>
        </w:tc>
        <w:tc>
          <w:tcPr>
            <w:tcW w:w="1980" w:type="dxa"/>
            <w:tcBorders>
              <w:top w:val="nil"/>
              <w:left w:val="single" w:sz="4" w:space="0" w:color="000000"/>
              <w:bottom w:val="single" w:sz="4" w:space="0" w:color="000000"/>
              <w:right w:val="single" w:sz="4" w:space="0" w:color="000000"/>
            </w:tcBorders>
            <w:shd w:val="clear" w:color="auto" w:fill="auto"/>
            <w:vAlign w:val="center"/>
          </w:tcPr>
          <w:p w:rsidR="001E3D64" w:rsidRDefault="001E3D64" w:rsidP="001E3D64">
            <w:pPr>
              <w:spacing w:line="240" w:lineRule="auto"/>
              <w:rPr>
                <w:rFonts w:ascii="Times New Roman" w:eastAsia="Times New Roman" w:hAnsi="Times New Roman" w:cs="Times New Roman"/>
                <w:color w:val="000000"/>
                <w:sz w:val="20"/>
                <w:szCs w:val="20"/>
              </w:rPr>
            </w:pPr>
          </w:p>
        </w:tc>
        <w:tc>
          <w:tcPr>
            <w:tcW w:w="1129" w:type="dxa"/>
            <w:vMerge w:val="restart"/>
            <w:tcBorders>
              <w:top w:val="nil"/>
              <w:left w:val="single" w:sz="8" w:space="0" w:color="000000"/>
              <w:bottom w:val="single" w:sz="4" w:space="0" w:color="000000"/>
              <w:right w:val="single" w:sz="8" w:space="0" w:color="000000"/>
            </w:tcBorders>
            <w:shd w:val="clear" w:color="auto" w:fill="auto"/>
            <w:vAlign w:val="center"/>
          </w:tcPr>
          <w:p w:rsidR="001E3D64" w:rsidRDefault="001E3D64" w:rsidP="001E3D64">
            <w:pPr>
              <w:spacing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Financial institutions, OFCs</w:t>
            </w:r>
          </w:p>
        </w:tc>
        <w:tc>
          <w:tcPr>
            <w:tcW w:w="1129" w:type="dxa"/>
            <w:vMerge w:val="restart"/>
            <w:tcBorders>
              <w:top w:val="nil"/>
              <w:left w:val="single" w:sz="8" w:space="0" w:color="000000"/>
              <w:bottom w:val="single" w:sz="4" w:space="0" w:color="000000"/>
              <w:right w:val="single" w:sz="8" w:space="0" w:color="000000"/>
            </w:tcBorders>
            <w:shd w:val="clear" w:color="auto" w:fill="auto"/>
            <w:vAlign w:val="center"/>
          </w:tcPr>
          <w:p w:rsidR="001E3D64" w:rsidRDefault="001E3D64" w:rsidP="001E3D64">
            <w:pPr>
              <w:spacing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E. </w:t>
            </w:r>
            <w:r>
              <w:rPr>
                <w:rFonts w:ascii="Times New Roman" w:eastAsia="Times New Roman" w:hAnsi="Times New Roman" w:cs="Times New Roman"/>
                <w:sz w:val="20"/>
                <w:szCs w:val="20"/>
              </w:rPr>
              <w:t>Intervention informed by an in depth analysis of gender and age differences and how to advance gender and youth equality.</w:t>
            </w:r>
          </w:p>
        </w:tc>
        <w:tc>
          <w:tcPr>
            <w:tcW w:w="982" w:type="dxa"/>
            <w:vMerge w:val="restart"/>
            <w:tcBorders>
              <w:top w:val="nil"/>
              <w:left w:val="single" w:sz="8" w:space="0" w:color="000000"/>
              <w:bottom w:val="single" w:sz="4" w:space="0" w:color="000000"/>
              <w:right w:val="single" w:sz="8" w:space="0" w:color="000000"/>
            </w:tcBorders>
            <w:shd w:val="clear" w:color="auto" w:fill="auto"/>
            <w:vAlign w:val="center"/>
          </w:tcPr>
          <w:p w:rsidR="001E3D64" w:rsidRDefault="001E3D64" w:rsidP="001E3D64">
            <w:pPr>
              <w:spacing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Business and Finance, Gender and Youth</w:t>
            </w:r>
          </w:p>
        </w:tc>
        <w:tc>
          <w:tcPr>
            <w:tcW w:w="1199" w:type="dxa"/>
            <w:vMerge w:val="restart"/>
            <w:tcBorders>
              <w:top w:val="nil"/>
              <w:left w:val="single" w:sz="8" w:space="0" w:color="000000"/>
              <w:bottom w:val="single" w:sz="4" w:space="0" w:color="000000"/>
              <w:right w:val="single" w:sz="8" w:space="0" w:color="000000"/>
            </w:tcBorders>
            <w:shd w:val="clear" w:color="auto" w:fill="A9D08E"/>
            <w:vAlign w:val="center"/>
          </w:tcPr>
          <w:p w:rsidR="001E3D64" w:rsidRDefault="001E3D64" w:rsidP="001E3D64">
            <w:pPr>
              <w:spacing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Gender Responsive or Positive</w:t>
            </w:r>
          </w:p>
        </w:tc>
        <w:tc>
          <w:tcPr>
            <w:tcW w:w="704" w:type="dxa"/>
            <w:tcBorders>
              <w:top w:val="nil"/>
              <w:left w:val="nil"/>
              <w:bottom w:val="single" w:sz="4" w:space="0" w:color="000000"/>
              <w:right w:val="single" w:sz="4" w:space="0" w:color="000000"/>
            </w:tcBorders>
            <w:shd w:val="clear" w:color="auto" w:fill="auto"/>
            <w:vAlign w:val="center"/>
          </w:tcPr>
          <w:p w:rsidR="001E3D64" w:rsidRDefault="001E3D64" w:rsidP="001E3D64">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2020</w:t>
            </w:r>
          </w:p>
        </w:tc>
        <w:tc>
          <w:tcPr>
            <w:tcW w:w="704" w:type="dxa"/>
            <w:tcBorders>
              <w:top w:val="single" w:sz="4" w:space="0" w:color="000000"/>
              <w:left w:val="single" w:sz="4" w:space="0" w:color="000000"/>
              <w:bottom w:val="single" w:sz="4" w:space="0" w:color="000000"/>
              <w:right w:val="single" w:sz="4" w:space="0" w:color="000000"/>
            </w:tcBorders>
          </w:tcPr>
          <w:p w:rsidR="001E3D64" w:rsidRDefault="001E3D64" w:rsidP="001E3D64">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r>
      <w:tr w:rsidR="001E3D64">
        <w:trPr>
          <w:trHeight w:val="1040"/>
        </w:trPr>
        <w:tc>
          <w:tcPr>
            <w:tcW w:w="1226" w:type="dxa"/>
            <w:vMerge/>
            <w:tcBorders>
              <w:top w:val="nil"/>
              <w:left w:val="single" w:sz="8" w:space="0" w:color="000000"/>
              <w:bottom w:val="single" w:sz="4" w:space="0" w:color="000000"/>
              <w:right w:val="single" w:sz="8" w:space="0" w:color="000000"/>
            </w:tcBorders>
            <w:shd w:val="clear" w:color="auto" w:fill="auto"/>
            <w:vAlign w:val="center"/>
          </w:tcPr>
          <w:p w:rsidR="001E3D64" w:rsidRDefault="001E3D64" w:rsidP="001E3D64">
            <w:pPr>
              <w:widowControl w:val="0"/>
              <w:pBdr>
                <w:top w:val="nil"/>
                <w:left w:val="nil"/>
                <w:bottom w:val="nil"/>
                <w:right w:val="nil"/>
                <w:between w:val="nil"/>
              </w:pBdr>
              <w:spacing w:line="276" w:lineRule="auto"/>
              <w:rPr>
                <w:rFonts w:ascii="Times New Roman" w:eastAsia="Times New Roman" w:hAnsi="Times New Roman" w:cs="Times New Roman"/>
                <w:color w:val="000000"/>
                <w:sz w:val="20"/>
                <w:szCs w:val="20"/>
              </w:rPr>
            </w:pPr>
          </w:p>
        </w:tc>
        <w:tc>
          <w:tcPr>
            <w:tcW w:w="1554" w:type="dxa"/>
            <w:vMerge/>
            <w:tcBorders>
              <w:top w:val="nil"/>
              <w:left w:val="single" w:sz="8" w:space="0" w:color="000000"/>
              <w:bottom w:val="single" w:sz="4" w:space="0" w:color="000000"/>
              <w:right w:val="single" w:sz="8" w:space="0" w:color="000000"/>
            </w:tcBorders>
            <w:shd w:val="clear" w:color="auto" w:fill="auto"/>
            <w:vAlign w:val="center"/>
          </w:tcPr>
          <w:p w:rsidR="001E3D64" w:rsidRDefault="001E3D64" w:rsidP="001E3D64">
            <w:pPr>
              <w:widowControl w:val="0"/>
              <w:pBdr>
                <w:top w:val="nil"/>
                <w:left w:val="nil"/>
                <w:bottom w:val="nil"/>
                <w:right w:val="nil"/>
                <w:between w:val="nil"/>
              </w:pBdr>
              <w:spacing w:line="276" w:lineRule="auto"/>
              <w:rPr>
                <w:rFonts w:ascii="Times New Roman" w:eastAsia="Times New Roman" w:hAnsi="Times New Roman" w:cs="Times New Roman"/>
                <w:color w:val="000000"/>
                <w:sz w:val="20"/>
                <w:szCs w:val="20"/>
              </w:rPr>
            </w:pPr>
          </w:p>
        </w:tc>
        <w:tc>
          <w:tcPr>
            <w:tcW w:w="1413" w:type="dxa"/>
            <w:vMerge/>
            <w:tcBorders>
              <w:top w:val="nil"/>
              <w:left w:val="single" w:sz="8" w:space="0" w:color="000000"/>
              <w:bottom w:val="single" w:sz="4" w:space="0" w:color="000000"/>
              <w:right w:val="single" w:sz="8" w:space="0" w:color="000000"/>
            </w:tcBorders>
            <w:shd w:val="clear" w:color="auto" w:fill="auto"/>
            <w:vAlign w:val="center"/>
          </w:tcPr>
          <w:p w:rsidR="001E3D64" w:rsidRDefault="001E3D64" w:rsidP="001E3D64">
            <w:pPr>
              <w:widowControl w:val="0"/>
              <w:pBdr>
                <w:top w:val="nil"/>
                <w:left w:val="nil"/>
                <w:bottom w:val="nil"/>
                <w:right w:val="nil"/>
                <w:between w:val="nil"/>
              </w:pBdr>
              <w:spacing w:line="276" w:lineRule="auto"/>
              <w:rPr>
                <w:rFonts w:ascii="Times New Roman" w:eastAsia="Times New Roman" w:hAnsi="Times New Roman" w:cs="Times New Roman"/>
                <w:color w:val="000000"/>
                <w:sz w:val="20"/>
                <w:szCs w:val="20"/>
              </w:rPr>
            </w:pPr>
          </w:p>
        </w:tc>
        <w:tc>
          <w:tcPr>
            <w:tcW w:w="1412" w:type="dxa"/>
            <w:vMerge/>
            <w:tcBorders>
              <w:top w:val="nil"/>
              <w:left w:val="single" w:sz="8" w:space="0" w:color="000000"/>
              <w:bottom w:val="single" w:sz="4" w:space="0" w:color="000000"/>
              <w:right w:val="single" w:sz="8" w:space="0" w:color="000000"/>
            </w:tcBorders>
            <w:shd w:val="clear" w:color="auto" w:fill="auto"/>
            <w:vAlign w:val="center"/>
          </w:tcPr>
          <w:p w:rsidR="001E3D64" w:rsidRDefault="001E3D64" w:rsidP="001E3D64">
            <w:pPr>
              <w:widowControl w:val="0"/>
              <w:pBdr>
                <w:top w:val="nil"/>
                <w:left w:val="nil"/>
                <w:bottom w:val="nil"/>
                <w:right w:val="nil"/>
                <w:between w:val="nil"/>
              </w:pBdr>
              <w:spacing w:line="276" w:lineRule="auto"/>
              <w:rPr>
                <w:rFonts w:ascii="Times New Roman" w:eastAsia="Times New Roman" w:hAnsi="Times New Roman" w:cs="Times New Roman"/>
                <w:color w:val="000000"/>
                <w:sz w:val="20"/>
                <w:szCs w:val="20"/>
              </w:rPr>
            </w:pPr>
          </w:p>
        </w:tc>
        <w:tc>
          <w:tcPr>
            <w:tcW w:w="1271" w:type="dxa"/>
            <w:vMerge/>
            <w:tcBorders>
              <w:top w:val="nil"/>
              <w:left w:val="single" w:sz="8" w:space="0" w:color="000000"/>
              <w:bottom w:val="single" w:sz="4" w:space="0" w:color="000000"/>
              <w:right w:val="single" w:sz="8" w:space="0" w:color="000000"/>
            </w:tcBorders>
            <w:shd w:val="clear" w:color="auto" w:fill="auto"/>
            <w:vAlign w:val="center"/>
          </w:tcPr>
          <w:p w:rsidR="001E3D64" w:rsidRDefault="001E3D64" w:rsidP="001E3D64">
            <w:pPr>
              <w:widowControl w:val="0"/>
              <w:pBdr>
                <w:top w:val="nil"/>
                <w:left w:val="nil"/>
                <w:bottom w:val="nil"/>
                <w:right w:val="nil"/>
                <w:between w:val="nil"/>
              </w:pBdr>
              <w:spacing w:line="276" w:lineRule="auto"/>
              <w:rPr>
                <w:rFonts w:ascii="Times New Roman" w:eastAsia="Times New Roman" w:hAnsi="Times New Roman" w:cs="Times New Roman"/>
                <w:color w:val="000000"/>
                <w:sz w:val="20"/>
                <w:szCs w:val="20"/>
              </w:rPr>
            </w:pPr>
          </w:p>
        </w:tc>
        <w:tc>
          <w:tcPr>
            <w:tcW w:w="1980" w:type="dxa"/>
            <w:tcBorders>
              <w:top w:val="nil"/>
              <w:left w:val="single" w:sz="4" w:space="0" w:color="000000"/>
              <w:bottom w:val="single" w:sz="4" w:space="0" w:color="000000"/>
              <w:right w:val="single" w:sz="4" w:space="0" w:color="000000"/>
            </w:tcBorders>
            <w:shd w:val="clear" w:color="auto" w:fill="auto"/>
            <w:vAlign w:val="center"/>
          </w:tcPr>
          <w:p w:rsidR="001E3D64" w:rsidRPr="00750F3B" w:rsidRDefault="001E3D64" w:rsidP="001E3D64">
            <w:pPr>
              <w:spacing w:line="240" w:lineRule="auto"/>
              <w:rPr>
                <w:rFonts w:ascii="Times New Roman" w:eastAsia="Times New Roman" w:hAnsi="Times New Roman" w:cs="Times New Roman"/>
                <w:color w:val="000000"/>
                <w:sz w:val="20"/>
                <w:szCs w:val="20"/>
                <w:highlight w:val="yellow"/>
              </w:rPr>
            </w:pPr>
            <w:r w:rsidRPr="00750F3B">
              <w:rPr>
                <w:rFonts w:ascii="Times New Roman" w:eastAsia="Times New Roman" w:hAnsi="Times New Roman" w:cs="Times New Roman"/>
                <w:color w:val="000000"/>
                <w:sz w:val="20"/>
                <w:szCs w:val="20"/>
                <w:highlight w:val="yellow"/>
              </w:rPr>
              <w:t>10.a. Capacity building courses improves administration and financial planning for the OFC.</w:t>
            </w:r>
          </w:p>
        </w:tc>
        <w:tc>
          <w:tcPr>
            <w:tcW w:w="1129" w:type="dxa"/>
            <w:vMerge/>
            <w:tcBorders>
              <w:top w:val="nil"/>
              <w:left w:val="single" w:sz="8" w:space="0" w:color="000000"/>
              <w:bottom w:val="single" w:sz="4" w:space="0" w:color="000000"/>
              <w:right w:val="single" w:sz="8" w:space="0" w:color="000000"/>
            </w:tcBorders>
            <w:shd w:val="clear" w:color="auto" w:fill="auto"/>
            <w:vAlign w:val="center"/>
          </w:tcPr>
          <w:p w:rsidR="001E3D64" w:rsidRDefault="001E3D64" w:rsidP="001E3D64">
            <w:pPr>
              <w:widowControl w:val="0"/>
              <w:pBdr>
                <w:top w:val="nil"/>
                <w:left w:val="nil"/>
                <w:bottom w:val="nil"/>
                <w:right w:val="nil"/>
                <w:between w:val="nil"/>
              </w:pBdr>
              <w:spacing w:line="276" w:lineRule="auto"/>
              <w:rPr>
                <w:rFonts w:ascii="Times New Roman" w:eastAsia="Times New Roman" w:hAnsi="Times New Roman" w:cs="Times New Roman"/>
                <w:color w:val="000000"/>
                <w:sz w:val="20"/>
                <w:szCs w:val="20"/>
              </w:rPr>
            </w:pPr>
          </w:p>
        </w:tc>
        <w:tc>
          <w:tcPr>
            <w:tcW w:w="1129" w:type="dxa"/>
            <w:vMerge/>
            <w:tcBorders>
              <w:top w:val="nil"/>
              <w:left w:val="single" w:sz="8" w:space="0" w:color="000000"/>
              <w:bottom w:val="single" w:sz="4" w:space="0" w:color="000000"/>
              <w:right w:val="single" w:sz="8" w:space="0" w:color="000000"/>
            </w:tcBorders>
            <w:shd w:val="clear" w:color="auto" w:fill="auto"/>
            <w:vAlign w:val="center"/>
          </w:tcPr>
          <w:p w:rsidR="001E3D64" w:rsidRDefault="001E3D64" w:rsidP="001E3D64">
            <w:pPr>
              <w:widowControl w:val="0"/>
              <w:pBdr>
                <w:top w:val="nil"/>
                <w:left w:val="nil"/>
                <w:bottom w:val="nil"/>
                <w:right w:val="nil"/>
                <w:between w:val="nil"/>
              </w:pBdr>
              <w:spacing w:line="276" w:lineRule="auto"/>
              <w:rPr>
                <w:rFonts w:ascii="Times New Roman" w:eastAsia="Times New Roman" w:hAnsi="Times New Roman" w:cs="Times New Roman"/>
                <w:color w:val="000000"/>
                <w:sz w:val="20"/>
                <w:szCs w:val="20"/>
              </w:rPr>
            </w:pPr>
          </w:p>
        </w:tc>
        <w:tc>
          <w:tcPr>
            <w:tcW w:w="982" w:type="dxa"/>
            <w:vMerge/>
            <w:tcBorders>
              <w:top w:val="nil"/>
              <w:left w:val="single" w:sz="8" w:space="0" w:color="000000"/>
              <w:bottom w:val="single" w:sz="4" w:space="0" w:color="000000"/>
              <w:right w:val="single" w:sz="8" w:space="0" w:color="000000"/>
            </w:tcBorders>
            <w:shd w:val="clear" w:color="auto" w:fill="auto"/>
            <w:vAlign w:val="center"/>
          </w:tcPr>
          <w:p w:rsidR="001E3D64" w:rsidRDefault="001E3D64" w:rsidP="001E3D64">
            <w:pPr>
              <w:widowControl w:val="0"/>
              <w:pBdr>
                <w:top w:val="nil"/>
                <w:left w:val="nil"/>
                <w:bottom w:val="nil"/>
                <w:right w:val="nil"/>
                <w:between w:val="nil"/>
              </w:pBdr>
              <w:spacing w:line="276" w:lineRule="auto"/>
              <w:rPr>
                <w:rFonts w:ascii="Times New Roman" w:eastAsia="Times New Roman" w:hAnsi="Times New Roman" w:cs="Times New Roman"/>
                <w:color w:val="000000"/>
                <w:sz w:val="20"/>
                <w:szCs w:val="20"/>
              </w:rPr>
            </w:pPr>
          </w:p>
        </w:tc>
        <w:tc>
          <w:tcPr>
            <w:tcW w:w="1199" w:type="dxa"/>
            <w:vMerge/>
            <w:tcBorders>
              <w:top w:val="nil"/>
              <w:left w:val="single" w:sz="8" w:space="0" w:color="000000"/>
              <w:bottom w:val="single" w:sz="4" w:space="0" w:color="000000"/>
              <w:right w:val="single" w:sz="8" w:space="0" w:color="000000"/>
            </w:tcBorders>
            <w:shd w:val="clear" w:color="auto" w:fill="A9D08E"/>
            <w:vAlign w:val="center"/>
          </w:tcPr>
          <w:p w:rsidR="001E3D64" w:rsidRDefault="001E3D64" w:rsidP="001E3D64">
            <w:pPr>
              <w:widowControl w:val="0"/>
              <w:pBdr>
                <w:top w:val="nil"/>
                <w:left w:val="nil"/>
                <w:bottom w:val="nil"/>
                <w:right w:val="nil"/>
                <w:between w:val="nil"/>
              </w:pBdr>
              <w:spacing w:line="276" w:lineRule="auto"/>
              <w:rPr>
                <w:rFonts w:ascii="Times New Roman" w:eastAsia="Times New Roman" w:hAnsi="Times New Roman" w:cs="Times New Roman"/>
                <w:color w:val="000000"/>
                <w:sz w:val="20"/>
                <w:szCs w:val="20"/>
              </w:rPr>
            </w:pPr>
          </w:p>
        </w:tc>
        <w:tc>
          <w:tcPr>
            <w:tcW w:w="704" w:type="dxa"/>
            <w:tcBorders>
              <w:top w:val="nil"/>
              <w:left w:val="nil"/>
              <w:bottom w:val="single" w:sz="4" w:space="0" w:color="000000"/>
              <w:right w:val="single" w:sz="4" w:space="0" w:color="000000"/>
            </w:tcBorders>
            <w:shd w:val="clear" w:color="auto" w:fill="auto"/>
            <w:vAlign w:val="center"/>
          </w:tcPr>
          <w:p w:rsidR="001E3D64" w:rsidRDefault="001E3D64" w:rsidP="001E3D64">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2020</w:t>
            </w:r>
          </w:p>
        </w:tc>
        <w:tc>
          <w:tcPr>
            <w:tcW w:w="704" w:type="dxa"/>
            <w:tcBorders>
              <w:top w:val="single" w:sz="4" w:space="0" w:color="000000"/>
              <w:left w:val="single" w:sz="4" w:space="0" w:color="000000"/>
              <w:bottom w:val="single" w:sz="4" w:space="0" w:color="000000"/>
              <w:right w:val="single" w:sz="4" w:space="0" w:color="000000"/>
            </w:tcBorders>
          </w:tcPr>
          <w:p w:rsidR="001E3D64" w:rsidRDefault="001E3D64" w:rsidP="001E3D64">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r>
      <w:tr w:rsidR="001E3D64">
        <w:trPr>
          <w:trHeight w:val="1100"/>
        </w:trPr>
        <w:tc>
          <w:tcPr>
            <w:tcW w:w="1226" w:type="dxa"/>
            <w:vMerge/>
            <w:tcBorders>
              <w:top w:val="nil"/>
              <w:left w:val="single" w:sz="8" w:space="0" w:color="000000"/>
              <w:bottom w:val="single" w:sz="4" w:space="0" w:color="000000"/>
              <w:right w:val="single" w:sz="8" w:space="0" w:color="000000"/>
            </w:tcBorders>
            <w:shd w:val="clear" w:color="auto" w:fill="auto"/>
            <w:vAlign w:val="center"/>
          </w:tcPr>
          <w:p w:rsidR="001E3D64" w:rsidRDefault="001E3D64" w:rsidP="001E3D64">
            <w:pPr>
              <w:widowControl w:val="0"/>
              <w:pBdr>
                <w:top w:val="nil"/>
                <w:left w:val="nil"/>
                <w:bottom w:val="nil"/>
                <w:right w:val="nil"/>
                <w:between w:val="nil"/>
              </w:pBdr>
              <w:spacing w:line="276" w:lineRule="auto"/>
              <w:rPr>
                <w:rFonts w:ascii="Times New Roman" w:eastAsia="Times New Roman" w:hAnsi="Times New Roman" w:cs="Times New Roman"/>
                <w:color w:val="000000"/>
                <w:sz w:val="20"/>
                <w:szCs w:val="20"/>
              </w:rPr>
            </w:pPr>
          </w:p>
        </w:tc>
        <w:tc>
          <w:tcPr>
            <w:tcW w:w="1554" w:type="dxa"/>
            <w:vMerge/>
            <w:tcBorders>
              <w:top w:val="nil"/>
              <w:left w:val="single" w:sz="8" w:space="0" w:color="000000"/>
              <w:bottom w:val="single" w:sz="4" w:space="0" w:color="000000"/>
              <w:right w:val="single" w:sz="8" w:space="0" w:color="000000"/>
            </w:tcBorders>
            <w:shd w:val="clear" w:color="auto" w:fill="auto"/>
            <w:vAlign w:val="center"/>
          </w:tcPr>
          <w:p w:rsidR="001E3D64" w:rsidRDefault="001E3D64" w:rsidP="001E3D64">
            <w:pPr>
              <w:widowControl w:val="0"/>
              <w:pBdr>
                <w:top w:val="nil"/>
                <w:left w:val="nil"/>
                <w:bottom w:val="nil"/>
                <w:right w:val="nil"/>
                <w:between w:val="nil"/>
              </w:pBdr>
              <w:spacing w:line="276" w:lineRule="auto"/>
              <w:rPr>
                <w:rFonts w:ascii="Times New Roman" w:eastAsia="Times New Roman" w:hAnsi="Times New Roman" w:cs="Times New Roman"/>
                <w:color w:val="000000"/>
                <w:sz w:val="20"/>
                <w:szCs w:val="20"/>
              </w:rPr>
            </w:pPr>
          </w:p>
        </w:tc>
        <w:tc>
          <w:tcPr>
            <w:tcW w:w="1413" w:type="dxa"/>
            <w:vMerge/>
            <w:tcBorders>
              <w:top w:val="nil"/>
              <w:left w:val="single" w:sz="8" w:space="0" w:color="000000"/>
              <w:bottom w:val="single" w:sz="4" w:space="0" w:color="000000"/>
              <w:right w:val="single" w:sz="8" w:space="0" w:color="000000"/>
            </w:tcBorders>
            <w:shd w:val="clear" w:color="auto" w:fill="auto"/>
            <w:vAlign w:val="center"/>
          </w:tcPr>
          <w:p w:rsidR="001E3D64" w:rsidRDefault="001E3D64" w:rsidP="001E3D64">
            <w:pPr>
              <w:widowControl w:val="0"/>
              <w:pBdr>
                <w:top w:val="nil"/>
                <w:left w:val="nil"/>
                <w:bottom w:val="nil"/>
                <w:right w:val="nil"/>
                <w:between w:val="nil"/>
              </w:pBdr>
              <w:spacing w:line="276" w:lineRule="auto"/>
              <w:rPr>
                <w:rFonts w:ascii="Times New Roman" w:eastAsia="Times New Roman" w:hAnsi="Times New Roman" w:cs="Times New Roman"/>
                <w:color w:val="000000"/>
                <w:sz w:val="20"/>
                <w:szCs w:val="20"/>
              </w:rPr>
            </w:pPr>
          </w:p>
        </w:tc>
        <w:tc>
          <w:tcPr>
            <w:tcW w:w="1412" w:type="dxa"/>
            <w:vMerge/>
            <w:tcBorders>
              <w:top w:val="nil"/>
              <w:left w:val="single" w:sz="8" w:space="0" w:color="000000"/>
              <w:bottom w:val="single" w:sz="4" w:space="0" w:color="000000"/>
              <w:right w:val="single" w:sz="8" w:space="0" w:color="000000"/>
            </w:tcBorders>
            <w:shd w:val="clear" w:color="auto" w:fill="auto"/>
            <w:vAlign w:val="center"/>
          </w:tcPr>
          <w:p w:rsidR="001E3D64" w:rsidRDefault="001E3D64" w:rsidP="001E3D64">
            <w:pPr>
              <w:widowControl w:val="0"/>
              <w:pBdr>
                <w:top w:val="nil"/>
                <w:left w:val="nil"/>
                <w:bottom w:val="nil"/>
                <w:right w:val="nil"/>
                <w:between w:val="nil"/>
              </w:pBdr>
              <w:spacing w:line="276" w:lineRule="auto"/>
              <w:rPr>
                <w:rFonts w:ascii="Times New Roman" w:eastAsia="Times New Roman" w:hAnsi="Times New Roman" w:cs="Times New Roman"/>
                <w:color w:val="000000"/>
                <w:sz w:val="20"/>
                <w:szCs w:val="20"/>
              </w:rPr>
            </w:pPr>
          </w:p>
        </w:tc>
        <w:tc>
          <w:tcPr>
            <w:tcW w:w="1271" w:type="dxa"/>
            <w:vMerge/>
            <w:tcBorders>
              <w:top w:val="nil"/>
              <w:left w:val="single" w:sz="8" w:space="0" w:color="000000"/>
              <w:bottom w:val="single" w:sz="4" w:space="0" w:color="000000"/>
              <w:right w:val="single" w:sz="8" w:space="0" w:color="000000"/>
            </w:tcBorders>
            <w:shd w:val="clear" w:color="auto" w:fill="auto"/>
            <w:vAlign w:val="center"/>
          </w:tcPr>
          <w:p w:rsidR="001E3D64" w:rsidRDefault="001E3D64" w:rsidP="001E3D64">
            <w:pPr>
              <w:widowControl w:val="0"/>
              <w:pBdr>
                <w:top w:val="nil"/>
                <w:left w:val="nil"/>
                <w:bottom w:val="nil"/>
                <w:right w:val="nil"/>
                <w:between w:val="nil"/>
              </w:pBdr>
              <w:spacing w:line="276" w:lineRule="auto"/>
              <w:rPr>
                <w:rFonts w:ascii="Times New Roman" w:eastAsia="Times New Roman" w:hAnsi="Times New Roman" w:cs="Times New Roman"/>
                <w:color w:val="000000"/>
                <w:sz w:val="20"/>
                <w:szCs w:val="20"/>
              </w:rPr>
            </w:pPr>
          </w:p>
        </w:tc>
        <w:tc>
          <w:tcPr>
            <w:tcW w:w="1980" w:type="dxa"/>
            <w:tcBorders>
              <w:top w:val="nil"/>
              <w:left w:val="single" w:sz="4" w:space="0" w:color="000000"/>
              <w:bottom w:val="single" w:sz="4" w:space="0" w:color="000000"/>
              <w:right w:val="single" w:sz="4" w:space="0" w:color="000000"/>
            </w:tcBorders>
            <w:shd w:val="clear" w:color="auto" w:fill="auto"/>
            <w:vAlign w:val="center"/>
          </w:tcPr>
          <w:p w:rsidR="001E3D64" w:rsidRDefault="001E3D64" w:rsidP="001E3D64">
            <w:pPr>
              <w:spacing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10.b. Training of financial managers of the OFCs to improve OFC´s administrative capacities.</w:t>
            </w:r>
          </w:p>
        </w:tc>
        <w:tc>
          <w:tcPr>
            <w:tcW w:w="1129" w:type="dxa"/>
            <w:vMerge/>
            <w:tcBorders>
              <w:top w:val="nil"/>
              <w:left w:val="single" w:sz="8" w:space="0" w:color="000000"/>
              <w:bottom w:val="single" w:sz="4" w:space="0" w:color="000000"/>
              <w:right w:val="single" w:sz="8" w:space="0" w:color="000000"/>
            </w:tcBorders>
            <w:shd w:val="clear" w:color="auto" w:fill="auto"/>
            <w:vAlign w:val="center"/>
          </w:tcPr>
          <w:p w:rsidR="001E3D64" w:rsidRDefault="001E3D64" w:rsidP="001E3D64">
            <w:pPr>
              <w:widowControl w:val="0"/>
              <w:pBdr>
                <w:top w:val="nil"/>
                <w:left w:val="nil"/>
                <w:bottom w:val="nil"/>
                <w:right w:val="nil"/>
                <w:between w:val="nil"/>
              </w:pBdr>
              <w:spacing w:line="276" w:lineRule="auto"/>
              <w:rPr>
                <w:rFonts w:ascii="Times New Roman" w:eastAsia="Times New Roman" w:hAnsi="Times New Roman" w:cs="Times New Roman"/>
                <w:color w:val="000000"/>
                <w:sz w:val="20"/>
                <w:szCs w:val="20"/>
              </w:rPr>
            </w:pPr>
          </w:p>
        </w:tc>
        <w:tc>
          <w:tcPr>
            <w:tcW w:w="1129" w:type="dxa"/>
            <w:vMerge/>
            <w:tcBorders>
              <w:top w:val="nil"/>
              <w:left w:val="single" w:sz="8" w:space="0" w:color="000000"/>
              <w:bottom w:val="single" w:sz="4" w:space="0" w:color="000000"/>
              <w:right w:val="single" w:sz="8" w:space="0" w:color="000000"/>
            </w:tcBorders>
            <w:shd w:val="clear" w:color="auto" w:fill="auto"/>
            <w:vAlign w:val="center"/>
          </w:tcPr>
          <w:p w:rsidR="001E3D64" w:rsidRDefault="001E3D64" w:rsidP="001E3D64">
            <w:pPr>
              <w:widowControl w:val="0"/>
              <w:pBdr>
                <w:top w:val="nil"/>
                <w:left w:val="nil"/>
                <w:bottom w:val="nil"/>
                <w:right w:val="nil"/>
                <w:between w:val="nil"/>
              </w:pBdr>
              <w:spacing w:line="276" w:lineRule="auto"/>
              <w:rPr>
                <w:rFonts w:ascii="Times New Roman" w:eastAsia="Times New Roman" w:hAnsi="Times New Roman" w:cs="Times New Roman"/>
                <w:color w:val="000000"/>
                <w:sz w:val="20"/>
                <w:szCs w:val="20"/>
              </w:rPr>
            </w:pPr>
          </w:p>
        </w:tc>
        <w:tc>
          <w:tcPr>
            <w:tcW w:w="982" w:type="dxa"/>
            <w:vMerge/>
            <w:tcBorders>
              <w:top w:val="nil"/>
              <w:left w:val="single" w:sz="8" w:space="0" w:color="000000"/>
              <w:bottom w:val="single" w:sz="4" w:space="0" w:color="000000"/>
              <w:right w:val="single" w:sz="8" w:space="0" w:color="000000"/>
            </w:tcBorders>
            <w:shd w:val="clear" w:color="auto" w:fill="auto"/>
            <w:vAlign w:val="center"/>
          </w:tcPr>
          <w:p w:rsidR="001E3D64" w:rsidRDefault="001E3D64" w:rsidP="001E3D64">
            <w:pPr>
              <w:widowControl w:val="0"/>
              <w:pBdr>
                <w:top w:val="nil"/>
                <w:left w:val="nil"/>
                <w:bottom w:val="nil"/>
                <w:right w:val="nil"/>
                <w:between w:val="nil"/>
              </w:pBdr>
              <w:spacing w:line="276" w:lineRule="auto"/>
              <w:rPr>
                <w:rFonts w:ascii="Times New Roman" w:eastAsia="Times New Roman" w:hAnsi="Times New Roman" w:cs="Times New Roman"/>
                <w:color w:val="000000"/>
                <w:sz w:val="20"/>
                <w:szCs w:val="20"/>
              </w:rPr>
            </w:pPr>
          </w:p>
        </w:tc>
        <w:tc>
          <w:tcPr>
            <w:tcW w:w="1199" w:type="dxa"/>
            <w:vMerge/>
            <w:tcBorders>
              <w:top w:val="nil"/>
              <w:left w:val="single" w:sz="8" w:space="0" w:color="000000"/>
              <w:bottom w:val="single" w:sz="4" w:space="0" w:color="000000"/>
              <w:right w:val="single" w:sz="8" w:space="0" w:color="000000"/>
            </w:tcBorders>
            <w:shd w:val="clear" w:color="auto" w:fill="A9D08E"/>
            <w:vAlign w:val="center"/>
          </w:tcPr>
          <w:p w:rsidR="001E3D64" w:rsidRDefault="001E3D64" w:rsidP="001E3D64">
            <w:pPr>
              <w:widowControl w:val="0"/>
              <w:pBdr>
                <w:top w:val="nil"/>
                <w:left w:val="nil"/>
                <w:bottom w:val="nil"/>
                <w:right w:val="nil"/>
                <w:between w:val="nil"/>
              </w:pBdr>
              <w:spacing w:line="276" w:lineRule="auto"/>
              <w:rPr>
                <w:rFonts w:ascii="Times New Roman" w:eastAsia="Times New Roman" w:hAnsi="Times New Roman" w:cs="Times New Roman"/>
                <w:color w:val="000000"/>
                <w:sz w:val="20"/>
                <w:szCs w:val="20"/>
              </w:rPr>
            </w:pPr>
          </w:p>
        </w:tc>
        <w:tc>
          <w:tcPr>
            <w:tcW w:w="704" w:type="dxa"/>
            <w:tcBorders>
              <w:top w:val="nil"/>
              <w:left w:val="nil"/>
              <w:bottom w:val="single" w:sz="4" w:space="0" w:color="000000"/>
              <w:right w:val="single" w:sz="4" w:space="0" w:color="000000"/>
            </w:tcBorders>
            <w:shd w:val="clear" w:color="auto" w:fill="auto"/>
            <w:vAlign w:val="center"/>
          </w:tcPr>
          <w:p w:rsidR="001E3D64" w:rsidRDefault="001E3D64" w:rsidP="001E3D64">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2020</w:t>
            </w:r>
          </w:p>
        </w:tc>
        <w:tc>
          <w:tcPr>
            <w:tcW w:w="704" w:type="dxa"/>
            <w:tcBorders>
              <w:top w:val="single" w:sz="4" w:space="0" w:color="000000"/>
              <w:left w:val="single" w:sz="4" w:space="0" w:color="000000"/>
              <w:bottom w:val="single" w:sz="4" w:space="0" w:color="000000"/>
              <w:right w:val="single" w:sz="4" w:space="0" w:color="000000"/>
            </w:tcBorders>
          </w:tcPr>
          <w:p w:rsidR="001E3D64" w:rsidRDefault="001E3D64" w:rsidP="001E3D64">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r>
      <w:tr w:rsidR="001E3D64">
        <w:trPr>
          <w:trHeight w:val="940"/>
        </w:trPr>
        <w:tc>
          <w:tcPr>
            <w:tcW w:w="1226" w:type="dxa"/>
            <w:vMerge/>
            <w:tcBorders>
              <w:top w:val="nil"/>
              <w:left w:val="single" w:sz="8" w:space="0" w:color="000000"/>
              <w:bottom w:val="single" w:sz="4" w:space="0" w:color="000000"/>
              <w:right w:val="single" w:sz="8" w:space="0" w:color="000000"/>
            </w:tcBorders>
            <w:shd w:val="clear" w:color="auto" w:fill="auto"/>
            <w:vAlign w:val="center"/>
          </w:tcPr>
          <w:p w:rsidR="001E3D64" w:rsidRDefault="001E3D64" w:rsidP="001E3D64">
            <w:pPr>
              <w:widowControl w:val="0"/>
              <w:pBdr>
                <w:top w:val="nil"/>
                <w:left w:val="nil"/>
                <w:bottom w:val="nil"/>
                <w:right w:val="nil"/>
                <w:between w:val="nil"/>
              </w:pBdr>
              <w:spacing w:line="276" w:lineRule="auto"/>
              <w:rPr>
                <w:rFonts w:ascii="Times New Roman" w:eastAsia="Times New Roman" w:hAnsi="Times New Roman" w:cs="Times New Roman"/>
                <w:color w:val="000000"/>
                <w:sz w:val="20"/>
                <w:szCs w:val="20"/>
              </w:rPr>
            </w:pPr>
          </w:p>
        </w:tc>
        <w:tc>
          <w:tcPr>
            <w:tcW w:w="1554" w:type="dxa"/>
            <w:vMerge/>
            <w:tcBorders>
              <w:top w:val="nil"/>
              <w:left w:val="single" w:sz="8" w:space="0" w:color="000000"/>
              <w:bottom w:val="single" w:sz="4" w:space="0" w:color="000000"/>
              <w:right w:val="single" w:sz="8" w:space="0" w:color="000000"/>
            </w:tcBorders>
            <w:shd w:val="clear" w:color="auto" w:fill="auto"/>
            <w:vAlign w:val="center"/>
          </w:tcPr>
          <w:p w:rsidR="001E3D64" w:rsidRDefault="001E3D64" w:rsidP="001E3D64">
            <w:pPr>
              <w:widowControl w:val="0"/>
              <w:pBdr>
                <w:top w:val="nil"/>
                <w:left w:val="nil"/>
                <w:bottom w:val="nil"/>
                <w:right w:val="nil"/>
                <w:between w:val="nil"/>
              </w:pBdr>
              <w:spacing w:line="276" w:lineRule="auto"/>
              <w:rPr>
                <w:rFonts w:ascii="Times New Roman" w:eastAsia="Times New Roman" w:hAnsi="Times New Roman" w:cs="Times New Roman"/>
                <w:color w:val="000000"/>
                <w:sz w:val="20"/>
                <w:szCs w:val="20"/>
              </w:rPr>
            </w:pPr>
          </w:p>
        </w:tc>
        <w:tc>
          <w:tcPr>
            <w:tcW w:w="1413" w:type="dxa"/>
            <w:vMerge/>
            <w:tcBorders>
              <w:top w:val="nil"/>
              <w:left w:val="single" w:sz="8" w:space="0" w:color="000000"/>
              <w:bottom w:val="single" w:sz="4" w:space="0" w:color="000000"/>
              <w:right w:val="single" w:sz="8" w:space="0" w:color="000000"/>
            </w:tcBorders>
            <w:shd w:val="clear" w:color="auto" w:fill="auto"/>
            <w:vAlign w:val="center"/>
          </w:tcPr>
          <w:p w:rsidR="001E3D64" w:rsidRDefault="001E3D64" w:rsidP="001E3D64">
            <w:pPr>
              <w:widowControl w:val="0"/>
              <w:pBdr>
                <w:top w:val="nil"/>
                <w:left w:val="nil"/>
                <w:bottom w:val="nil"/>
                <w:right w:val="nil"/>
                <w:between w:val="nil"/>
              </w:pBdr>
              <w:spacing w:line="276" w:lineRule="auto"/>
              <w:rPr>
                <w:rFonts w:ascii="Times New Roman" w:eastAsia="Times New Roman" w:hAnsi="Times New Roman" w:cs="Times New Roman"/>
                <w:color w:val="000000"/>
                <w:sz w:val="20"/>
                <w:szCs w:val="20"/>
              </w:rPr>
            </w:pPr>
          </w:p>
        </w:tc>
        <w:tc>
          <w:tcPr>
            <w:tcW w:w="1412" w:type="dxa"/>
            <w:vMerge/>
            <w:tcBorders>
              <w:top w:val="nil"/>
              <w:left w:val="single" w:sz="8" w:space="0" w:color="000000"/>
              <w:bottom w:val="single" w:sz="4" w:space="0" w:color="000000"/>
              <w:right w:val="single" w:sz="8" w:space="0" w:color="000000"/>
            </w:tcBorders>
            <w:shd w:val="clear" w:color="auto" w:fill="auto"/>
            <w:vAlign w:val="center"/>
          </w:tcPr>
          <w:p w:rsidR="001E3D64" w:rsidRDefault="001E3D64" w:rsidP="001E3D64">
            <w:pPr>
              <w:widowControl w:val="0"/>
              <w:pBdr>
                <w:top w:val="nil"/>
                <w:left w:val="nil"/>
                <w:bottom w:val="nil"/>
                <w:right w:val="nil"/>
                <w:between w:val="nil"/>
              </w:pBdr>
              <w:spacing w:line="276" w:lineRule="auto"/>
              <w:rPr>
                <w:rFonts w:ascii="Times New Roman" w:eastAsia="Times New Roman" w:hAnsi="Times New Roman" w:cs="Times New Roman"/>
                <w:color w:val="000000"/>
                <w:sz w:val="20"/>
                <w:szCs w:val="20"/>
              </w:rPr>
            </w:pPr>
          </w:p>
        </w:tc>
        <w:tc>
          <w:tcPr>
            <w:tcW w:w="1271" w:type="dxa"/>
            <w:vMerge/>
            <w:tcBorders>
              <w:top w:val="nil"/>
              <w:left w:val="single" w:sz="8" w:space="0" w:color="000000"/>
              <w:bottom w:val="single" w:sz="4" w:space="0" w:color="000000"/>
              <w:right w:val="single" w:sz="8" w:space="0" w:color="000000"/>
            </w:tcBorders>
            <w:shd w:val="clear" w:color="auto" w:fill="auto"/>
            <w:vAlign w:val="center"/>
          </w:tcPr>
          <w:p w:rsidR="001E3D64" w:rsidRDefault="001E3D64" w:rsidP="001E3D64">
            <w:pPr>
              <w:widowControl w:val="0"/>
              <w:pBdr>
                <w:top w:val="nil"/>
                <w:left w:val="nil"/>
                <w:bottom w:val="nil"/>
                <w:right w:val="nil"/>
                <w:between w:val="nil"/>
              </w:pBdr>
              <w:spacing w:line="276" w:lineRule="auto"/>
              <w:rPr>
                <w:rFonts w:ascii="Times New Roman" w:eastAsia="Times New Roman" w:hAnsi="Times New Roman" w:cs="Times New Roman"/>
                <w:color w:val="000000"/>
                <w:sz w:val="20"/>
                <w:szCs w:val="20"/>
              </w:rPr>
            </w:pPr>
          </w:p>
        </w:tc>
        <w:tc>
          <w:tcPr>
            <w:tcW w:w="1980" w:type="dxa"/>
            <w:tcBorders>
              <w:top w:val="nil"/>
              <w:left w:val="single" w:sz="4" w:space="0" w:color="000000"/>
              <w:bottom w:val="single" w:sz="4" w:space="0" w:color="000000"/>
              <w:right w:val="single" w:sz="4" w:space="0" w:color="000000"/>
            </w:tcBorders>
            <w:shd w:val="clear" w:color="auto" w:fill="auto"/>
            <w:vAlign w:val="center"/>
          </w:tcPr>
          <w:p w:rsidR="001E3D64" w:rsidRDefault="001E3D64" w:rsidP="001E3D64">
            <w:pPr>
              <w:spacing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10.c. Support for multi-stakeholder dialogue to j</w:t>
            </w:r>
            <w:r>
              <w:rPr>
                <w:rFonts w:ascii="Times New Roman" w:eastAsia="Times New Roman" w:hAnsi="Times New Roman" w:cs="Times New Roman"/>
                <w:sz w:val="20"/>
                <w:szCs w:val="20"/>
              </w:rPr>
              <w:t>o</w:t>
            </w:r>
            <w:r>
              <w:rPr>
                <w:rFonts w:ascii="Times New Roman" w:eastAsia="Times New Roman" w:hAnsi="Times New Roman" w:cs="Times New Roman"/>
                <w:color w:val="000000"/>
                <w:sz w:val="20"/>
                <w:szCs w:val="20"/>
              </w:rPr>
              <w:t>intly address  problems around inclusive businesses and design of new innovative financial services</w:t>
            </w:r>
          </w:p>
        </w:tc>
        <w:tc>
          <w:tcPr>
            <w:tcW w:w="1129" w:type="dxa"/>
            <w:vMerge/>
            <w:tcBorders>
              <w:top w:val="nil"/>
              <w:left w:val="single" w:sz="8" w:space="0" w:color="000000"/>
              <w:bottom w:val="single" w:sz="4" w:space="0" w:color="000000"/>
              <w:right w:val="single" w:sz="8" w:space="0" w:color="000000"/>
            </w:tcBorders>
            <w:shd w:val="clear" w:color="auto" w:fill="auto"/>
            <w:vAlign w:val="center"/>
          </w:tcPr>
          <w:p w:rsidR="001E3D64" w:rsidRDefault="001E3D64" w:rsidP="001E3D64">
            <w:pPr>
              <w:widowControl w:val="0"/>
              <w:pBdr>
                <w:top w:val="nil"/>
                <w:left w:val="nil"/>
                <w:bottom w:val="nil"/>
                <w:right w:val="nil"/>
                <w:between w:val="nil"/>
              </w:pBdr>
              <w:spacing w:line="276" w:lineRule="auto"/>
              <w:rPr>
                <w:rFonts w:ascii="Times New Roman" w:eastAsia="Times New Roman" w:hAnsi="Times New Roman" w:cs="Times New Roman"/>
                <w:color w:val="000000"/>
                <w:sz w:val="20"/>
                <w:szCs w:val="20"/>
              </w:rPr>
            </w:pPr>
          </w:p>
        </w:tc>
        <w:tc>
          <w:tcPr>
            <w:tcW w:w="1129" w:type="dxa"/>
            <w:vMerge/>
            <w:tcBorders>
              <w:top w:val="nil"/>
              <w:left w:val="single" w:sz="8" w:space="0" w:color="000000"/>
              <w:bottom w:val="single" w:sz="4" w:space="0" w:color="000000"/>
              <w:right w:val="single" w:sz="8" w:space="0" w:color="000000"/>
            </w:tcBorders>
            <w:shd w:val="clear" w:color="auto" w:fill="auto"/>
            <w:vAlign w:val="center"/>
          </w:tcPr>
          <w:p w:rsidR="001E3D64" w:rsidRDefault="001E3D64" w:rsidP="001E3D64">
            <w:pPr>
              <w:widowControl w:val="0"/>
              <w:pBdr>
                <w:top w:val="nil"/>
                <w:left w:val="nil"/>
                <w:bottom w:val="nil"/>
                <w:right w:val="nil"/>
                <w:between w:val="nil"/>
              </w:pBdr>
              <w:spacing w:line="276" w:lineRule="auto"/>
              <w:rPr>
                <w:rFonts w:ascii="Times New Roman" w:eastAsia="Times New Roman" w:hAnsi="Times New Roman" w:cs="Times New Roman"/>
                <w:color w:val="000000"/>
                <w:sz w:val="20"/>
                <w:szCs w:val="20"/>
              </w:rPr>
            </w:pPr>
          </w:p>
        </w:tc>
        <w:tc>
          <w:tcPr>
            <w:tcW w:w="982" w:type="dxa"/>
            <w:vMerge/>
            <w:tcBorders>
              <w:top w:val="nil"/>
              <w:left w:val="single" w:sz="8" w:space="0" w:color="000000"/>
              <w:bottom w:val="single" w:sz="4" w:space="0" w:color="000000"/>
              <w:right w:val="single" w:sz="8" w:space="0" w:color="000000"/>
            </w:tcBorders>
            <w:shd w:val="clear" w:color="auto" w:fill="auto"/>
            <w:vAlign w:val="center"/>
          </w:tcPr>
          <w:p w:rsidR="001E3D64" w:rsidRDefault="001E3D64" w:rsidP="001E3D64">
            <w:pPr>
              <w:widowControl w:val="0"/>
              <w:pBdr>
                <w:top w:val="nil"/>
                <w:left w:val="nil"/>
                <w:bottom w:val="nil"/>
                <w:right w:val="nil"/>
                <w:between w:val="nil"/>
              </w:pBdr>
              <w:spacing w:line="276" w:lineRule="auto"/>
              <w:rPr>
                <w:rFonts w:ascii="Times New Roman" w:eastAsia="Times New Roman" w:hAnsi="Times New Roman" w:cs="Times New Roman"/>
                <w:color w:val="000000"/>
                <w:sz w:val="20"/>
                <w:szCs w:val="20"/>
              </w:rPr>
            </w:pPr>
          </w:p>
        </w:tc>
        <w:tc>
          <w:tcPr>
            <w:tcW w:w="1199" w:type="dxa"/>
            <w:vMerge/>
            <w:tcBorders>
              <w:top w:val="nil"/>
              <w:left w:val="single" w:sz="8" w:space="0" w:color="000000"/>
              <w:bottom w:val="single" w:sz="4" w:space="0" w:color="000000"/>
              <w:right w:val="single" w:sz="8" w:space="0" w:color="000000"/>
            </w:tcBorders>
            <w:shd w:val="clear" w:color="auto" w:fill="A9D08E"/>
            <w:vAlign w:val="center"/>
          </w:tcPr>
          <w:p w:rsidR="001E3D64" w:rsidRDefault="001E3D64" w:rsidP="001E3D64">
            <w:pPr>
              <w:widowControl w:val="0"/>
              <w:pBdr>
                <w:top w:val="nil"/>
                <w:left w:val="nil"/>
                <w:bottom w:val="nil"/>
                <w:right w:val="nil"/>
                <w:between w:val="nil"/>
              </w:pBdr>
              <w:spacing w:line="276" w:lineRule="auto"/>
              <w:rPr>
                <w:rFonts w:ascii="Times New Roman" w:eastAsia="Times New Roman" w:hAnsi="Times New Roman" w:cs="Times New Roman"/>
                <w:color w:val="000000"/>
                <w:sz w:val="20"/>
                <w:szCs w:val="20"/>
              </w:rPr>
            </w:pPr>
          </w:p>
        </w:tc>
        <w:tc>
          <w:tcPr>
            <w:tcW w:w="704" w:type="dxa"/>
            <w:tcBorders>
              <w:top w:val="nil"/>
              <w:left w:val="nil"/>
              <w:bottom w:val="single" w:sz="4" w:space="0" w:color="000000"/>
              <w:right w:val="single" w:sz="4" w:space="0" w:color="000000"/>
            </w:tcBorders>
            <w:shd w:val="clear" w:color="auto" w:fill="auto"/>
            <w:vAlign w:val="center"/>
          </w:tcPr>
          <w:p w:rsidR="001E3D64" w:rsidRDefault="001E3D64" w:rsidP="001E3D64">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2020</w:t>
            </w:r>
          </w:p>
        </w:tc>
        <w:tc>
          <w:tcPr>
            <w:tcW w:w="704" w:type="dxa"/>
            <w:tcBorders>
              <w:top w:val="single" w:sz="4" w:space="0" w:color="000000"/>
              <w:left w:val="single" w:sz="4" w:space="0" w:color="000000"/>
              <w:bottom w:val="single" w:sz="4" w:space="0" w:color="000000"/>
              <w:right w:val="single" w:sz="4" w:space="0" w:color="000000"/>
            </w:tcBorders>
          </w:tcPr>
          <w:p w:rsidR="001E3D64" w:rsidRDefault="001E3D64" w:rsidP="001E3D64">
            <w:pPr>
              <w:spacing w:line="240" w:lineRule="auto"/>
              <w:jc w:val="center"/>
              <w:rPr>
                <w:rFonts w:ascii="Times New Roman" w:eastAsia="Times New Roman" w:hAnsi="Times New Roman" w:cs="Times New Roman"/>
                <w:color w:val="000000"/>
                <w:sz w:val="20"/>
                <w:szCs w:val="20"/>
              </w:rPr>
            </w:pPr>
          </w:p>
        </w:tc>
      </w:tr>
      <w:tr w:rsidR="001E3D64">
        <w:trPr>
          <w:trHeight w:val="600"/>
        </w:trPr>
        <w:tc>
          <w:tcPr>
            <w:tcW w:w="1226" w:type="dxa"/>
            <w:vMerge w:val="restart"/>
            <w:tcBorders>
              <w:top w:val="nil"/>
              <w:left w:val="single" w:sz="8" w:space="0" w:color="000000"/>
              <w:bottom w:val="single" w:sz="8" w:space="0" w:color="000000"/>
              <w:right w:val="single" w:sz="8" w:space="0" w:color="000000"/>
            </w:tcBorders>
            <w:shd w:val="clear" w:color="auto" w:fill="auto"/>
            <w:vAlign w:val="center"/>
          </w:tcPr>
          <w:p w:rsidR="001E3D64" w:rsidRDefault="001E3D64" w:rsidP="001E3D64">
            <w:pPr>
              <w:spacing w:line="240" w:lineRule="auto"/>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11. Private forest enterprises co-create innovative business partnerships with OFCs and other producer organizations</w:t>
            </w:r>
          </w:p>
        </w:tc>
        <w:tc>
          <w:tcPr>
            <w:tcW w:w="1554" w:type="dxa"/>
            <w:vMerge w:val="restart"/>
            <w:tcBorders>
              <w:top w:val="nil"/>
              <w:left w:val="single" w:sz="8" w:space="0" w:color="000000"/>
              <w:bottom w:val="single" w:sz="8" w:space="0" w:color="000000"/>
              <w:right w:val="single" w:sz="8" w:space="0" w:color="000000"/>
            </w:tcBorders>
            <w:shd w:val="clear" w:color="auto" w:fill="auto"/>
            <w:vAlign w:val="center"/>
          </w:tcPr>
          <w:p w:rsidR="001E3D64" w:rsidRDefault="001E3D64" w:rsidP="001E3D64">
            <w:pPr>
              <w:spacing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11.1. Sawmill companies and carpenters independently are working in the co-development of more inclusive business models and partnerships</w:t>
            </w:r>
          </w:p>
        </w:tc>
        <w:tc>
          <w:tcPr>
            <w:tcW w:w="1413" w:type="dxa"/>
            <w:vMerge w:val="restart"/>
            <w:tcBorders>
              <w:top w:val="nil"/>
              <w:left w:val="single" w:sz="8" w:space="0" w:color="000000"/>
              <w:bottom w:val="single" w:sz="8" w:space="0" w:color="000000"/>
              <w:right w:val="single" w:sz="8" w:space="0" w:color="000000"/>
            </w:tcBorders>
            <w:shd w:val="clear" w:color="auto" w:fill="auto"/>
            <w:vAlign w:val="center"/>
          </w:tcPr>
          <w:p w:rsidR="001E3D64" w:rsidRDefault="001E3D64" w:rsidP="001E3D64">
            <w:pPr>
              <w:spacing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11.4. Sawmill companies and carpenters are receptive to the co-development of  innovative and fair business partnerships (contracts) with AFIs and other producer organizations.</w:t>
            </w:r>
          </w:p>
        </w:tc>
        <w:tc>
          <w:tcPr>
            <w:tcW w:w="1412" w:type="dxa"/>
            <w:vMerge w:val="restart"/>
            <w:tcBorders>
              <w:top w:val="nil"/>
              <w:left w:val="single" w:sz="8" w:space="0" w:color="000000"/>
              <w:bottom w:val="single" w:sz="8" w:space="0" w:color="000000"/>
              <w:right w:val="single" w:sz="8" w:space="0" w:color="000000"/>
            </w:tcBorders>
            <w:shd w:val="clear" w:color="auto" w:fill="auto"/>
            <w:vAlign w:val="center"/>
          </w:tcPr>
          <w:p w:rsidR="001E3D64" w:rsidRDefault="001E3D64" w:rsidP="001E3D64">
            <w:pPr>
              <w:spacing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11.3. Sawmill companies and carpenters take concrete steps in the co-development of innovative and fair business partnerships (contracts) with AFIs and other producer organizations.</w:t>
            </w:r>
          </w:p>
        </w:tc>
        <w:tc>
          <w:tcPr>
            <w:tcW w:w="1271" w:type="dxa"/>
            <w:vMerge w:val="restart"/>
            <w:tcBorders>
              <w:top w:val="nil"/>
              <w:left w:val="single" w:sz="8" w:space="0" w:color="000000"/>
              <w:bottom w:val="single" w:sz="8" w:space="0" w:color="000000"/>
              <w:right w:val="single" w:sz="8" w:space="0" w:color="000000"/>
            </w:tcBorders>
            <w:shd w:val="clear" w:color="auto" w:fill="auto"/>
            <w:vAlign w:val="center"/>
          </w:tcPr>
          <w:p w:rsidR="001E3D64" w:rsidRDefault="001E3D64" w:rsidP="001E3D64">
            <w:pPr>
              <w:spacing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Sawmill companies and carpenters</w:t>
            </w:r>
          </w:p>
        </w:tc>
        <w:tc>
          <w:tcPr>
            <w:tcW w:w="1980" w:type="dxa"/>
            <w:tcBorders>
              <w:top w:val="nil"/>
              <w:left w:val="single" w:sz="4" w:space="0" w:color="000000"/>
              <w:bottom w:val="single" w:sz="4" w:space="0" w:color="000000"/>
              <w:right w:val="single" w:sz="4" w:space="0" w:color="000000"/>
            </w:tcBorders>
            <w:shd w:val="clear" w:color="auto" w:fill="auto"/>
            <w:vAlign w:val="center"/>
          </w:tcPr>
          <w:p w:rsidR="001E3D64" w:rsidRDefault="001E3D64" w:rsidP="001E3D64">
            <w:pPr>
              <w:spacing w:line="240" w:lineRule="auto"/>
              <w:rPr>
                <w:rFonts w:ascii="Times New Roman" w:eastAsia="Times New Roman" w:hAnsi="Times New Roman" w:cs="Times New Roman"/>
                <w:color w:val="000000"/>
                <w:sz w:val="20"/>
                <w:szCs w:val="20"/>
              </w:rPr>
            </w:pPr>
          </w:p>
        </w:tc>
        <w:tc>
          <w:tcPr>
            <w:tcW w:w="1129" w:type="dxa"/>
            <w:vMerge w:val="restart"/>
            <w:tcBorders>
              <w:top w:val="nil"/>
              <w:left w:val="single" w:sz="8" w:space="0" w:color="000000"/>
              <w:bottom w:val="single" w:sz="8" w:space="0" w:color="000000"/>
              <w:right w:val="single" w:sz="8" w:space="0" w:color="000000"/>
            </w:tcBorders>
            <w:shd w:val="clear" w:color="auto" w:fill="auto"/>
            <w:vAlign w:val="center"/>
          </w:tcPr>
          <w:p w:rsidR="001E3D64" w:rsidRDefault="001E3D64" w:rsidP="001E3D64">
            <w:pPr>
              <w:spacing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OFCs, ABT, companies</w:t>
            </w:r>
          </w:p>
        </w:tc>
        <w:tc>
          <w:tcPr>
            <w:tcW w:w="1129" w:type="dxa"/>
            <w:vMerge w:val="restart"/>
            <w:tcBorders>
              <w:top w:val="nil"/>
              <w:left w:val="single" w:sz="8" w:space="0" w:color="000000"/>
              <w:bottom w:val="single" w:sz="8" w:space="0" w:color="000000"/>
              <w:right w:val="single" w:sz="8" w:space="0" w:color="000000"/>
            </w:tcBorders>
            <w:shd w:val="clear" w:color="auto" w:fill="auto"/>
            <w:vAlign w:val="center"/>
          </w:tcPr>
          <w:p w:rsidR="001E3D64" w:rsidRDefault="001E3D64" w:rsidP="001E3D64">
            <w:pPr>
              <w:spacing w:line="240" w:lineRule="auto"/>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E. </w:t>
            </w:r>
            <w:r>
              <w:rPr>
                <w:rFonts w:ascii="Times New Roman" w:eastAsia="Times New Roman" w:hAnsi="Times New Roman" w:cs="Times New Roman"/>
                <w:sz w:val="20"/>
                <w:szCs w:val="20"/>
              </w:rPr>
              <w:t>Intervention informed by an in depth analysis of gender and age differences and how to advance gender and youth equality.</w:t>
            </w:r>
          </w:p>
          <w:p w:rsidR="001E3D64" w:rsidRDefault="001E3D64" w:rsidP="001E3D64">
            <w:pPr>
              <w:spacing w:line="240" w:lineRule="auto"/>
              <w:rPr>
                <w:rFonts w:ascii="Times New Roman" w:eastAsia="Times New Roman" w:hAnsi="Times New Roman" w:cs="Times New Roman"/>
                <w:sz w:val="20"/>
                <w:szCs w:val="20"/>
              </w:rPr>
            </w:pPr>
          </w:p>
          <w:p w:rsidR="001E3D64" w:rsidRDefault="001E3D64" w:rsidP="001E3D64">
            <w:pPr>
              <w:spacing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C. Ensure meaningful participation of women and youth.</w:t>
            </w:r>
          </w:p>
        </w:tc>
        <w:tc>
          <w:tcPr>
            <w:tcW w:w="982" w:type="dxa"/>
            <w:vMerge w:val="restart"/>
            <w:tcBorders>
              <w:top w:val="nil"/>
              <w:left w:val="single" w:sz="8" w:space="0" w:color="000000"/>
              <w:bottom w:val="single" w:sz="8" w:space="0" w:color="000000"/>
              <w:right w:val="single" w:sz="8" w:space="0" w:color="000000"/>
            </w:tcBorders>
            <w:shd w:val="clear" w:color="auto" w:fill="auto"/>
            <w:vAlign w:val="center"/>
          </w:tcPr>
          <w:p w:rsidR="001E3D64" w:rsidRDefault="001E3D64" w:rsidP="001E3D64">
            <w:pPr>
              <w:spacing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Business and Finance</w:t>
            </w:r>
          </w:p>
        </w:tc>
        <w:tc>
          <w:tcPr>
            <w:tcW w:w="1199" w:type="dxa"/>
            <w:vMerge w:val="restart"/>
            <w:tcBorders>
              <w:top w:val="nil"/>
              <w:left w:val="single" w:sz="8" w:space="0" w:color="000000"/>
              <w:bottom w:val="single" w:sz="8" w:space="0" w:color="000000"/>
              <w:right w:val="single" w:sz="8" w:space="0" w:color="000000"/>
            </w:tcBorders>
            <w:shd w:val="clear" w:color="auto" w:fill="A9D08E"/>
            <w:vAlign w:val="center"/>
          </w:tcPr>
          <w:p w:rsidR="001E3D64" w:rsidRDefault="001E3D64" w:rsidP="001E3D64">
            <w:pPr>
              <w:spacing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Gender Responsive or Positive</w:t>
            </w:r>
          </w:p>
        </w:tc>
        <w:tc>
          <w:tcPr>
            <w:tcW w:w="704" w:type="dxa"/>
            <w:tcBorders>
              <w:top w:val="nil"/>
              <w:left w:val="nil"/>
              <w:bottom w:val="single" w:sz="4" w:space="0" w:color="000000"/>
              <w:right w:val="single" w:sz="4" w:space="0" w:color="000000"/>
            </w:tcBorders>
            <w:shd w:val="clear" w:color="auto" w:fill="auto"/>
            <w:vAlign w:val="center"/>
          </w:tcPr>
          <w:p w:rsidR="001E3D64" w:rsidRDefault="001E3D64" w:rsidP="001E3D64">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2020</w:t>
            </w:r>
          </w:p>
        </w:tc>
        <w:tc>
          <w:tcPr>
            <w:tcW w:w="704" w:type="dxa"/>
            <w:tcBorders>
              <w:top w:val="single" w:sz="4" w:space="0" w:color="000000"/>
              <w:left w:val="single" w:sz="4" w:space="0" w:color="000000"/>
              <w:bottom w:val="single" w:sz="4" w:space="0" w:color="000000"/>
              <w:right w:val="single" w:sz="4" w:space="0" w:color="000000"/>
            </w:tcBorders>
          </w:tcPr>
          <w:p w:rsidR="001E3D64" w:rsidRDefault="001E3D64" w:rsidP="001E3D64">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r>
      <w:tr w:rsidR="001E3D64">
        <w:trPr>
          <w:trHeight w:val="660"/>
        </w:trPr>
        <w:tc>
          <w:tcPr>
            <w:tcW w:w="1226" w:type="dxa"/>
            <w:vMerge/>
            <w:tcBorders>
              <w:top w:val="nil"/>
              <w:left w:val="single" w:sz="8" w:space="0" w:color="000000"/>
              <w:bottom w:val="single" w:sz="8" w:space="0" w:color="000000"/>
              <w:right w:val="single" w:sz="8" w:space="0" w:color="000000"/>
            </w:tcBorders>
            <w:shd w:val="clear" w:color="auto" w:fill="auto"/>
            <w:vAlign w:val="center"/>
          </w:tcPr>
          <w:p w:rsidR="001E3D64" w:rsidRDefault="001E3D64" w:rsidP="001E3D64">
            <w:pPr>
              <w:widowControl w:val="0"/>
              <w:pBdr>
                <w:top w:val="nil"/>
                <w:left w:val="nil"/>
                <w:bottom w:val="nil"/>
                <w:right w:val="nil"/>
                <w:between w:val="nil"/>
              </w:pBdr>
              <w:spacing w:line="276" w:lineRule="auto"/>
              <w:rPr>
                <w:rFonts w:ascii="Times New Roman" w:eastAsia="Times New Roman" w:hAnsi="Times New Roman" w:cs="Times New Roman"/>
                <w:color w:val="000000"/>
                <w:sz w:val="20"/>
                <w:szCs w:val="20"/>
              </w:rPr>
            </w:pPr>
          </w:p>
        </w:tc>
        <w:tc>
          <w:tcPr>
            <w:tcW w:w="1554" w:type="dxa"/>
            <w:vMerge/>
            <w:tcBorders>
              <w:top w:val="nil"/>
              <w:left w:val="single" w:sz="8" w:space="0" w:color="000000"/>
              <w:bottom w:val="single" w:sz="8" w:space="0" w:color="000000"/>
              <w:right w:val="single" w:sz="8" w:space="0" w:color="000000"/>
            </w:tcBorders>
            <w:shd w:val="clear" w:color="auto" w:fill="auto"/>
            <w:vAlign w:val="center"/>
          </w:tcPr>
          <w:p w:rsidR="001E3D64" w:rsidRDefault="001E3D64" w:rsidP="001E3D64">
            <w:pPr>
              <w:widowControl w:val="0"/>
              <w:pBdr>
                <w:top w:val="nil"/>
                <w:left w:val="nil"/>
                <w:bottom w:val="nil"/>
                <w:right w:val="nil"/>
                <w:between w:val="nil"/>
              </w:pBdr>
              <w:spacing w:line="276" w:lineRule="auto"/>
              <w:rPr>
                <w:rFonts w:ascii="Times New Roman" w:eastAsia="Times New Roman" w:hAnsi="Times New Roman" w:cs="Times New Roman"/>
                <w:color w:val="000000"/>
                <w:sz w:val="20"/>
                <w:szCs w:val="20"/>
              </w:rPr>
            </w:pPr>
          </w:p>
        </w:tc>
        <w:tc>
          <w:tcPr>
            <w:tcW w:w="1413" w:type="dxa"/>
            <w:vMerge/>
            <w:tcBorders>
              <w:top w:val="nil"/>
              <w:left w:val="single" w:sz="8" w:space="0" w:color="000000"/>
              <w:bottom w:val="single" w:sz="8" w:space="0" w:color="000000"/>
              <w:right w:val="single" w:sz="8" w:space="0" w:color="000000"/>
            </w:tcBorders>
            <w:shd w:val="clear" w:color="auto" w:fill="auto"/>
            <w:vAlign w:val="center"/>
          </w:tcPr>
          <w:p w:rsidR="001E3D64" w:rsidRDefault="001E3D64" w:rsidP="001E3D64">
            <w:pPr>
              <w:widowControl w:val="0"/>
              <w:pBdr>
                <w:top w:val="nil"/>
                <w:left w:val="nil"/>
                <w:bottom w:val="nil"/>
                <w:right w:val="nil"/>
                <w:between w:val="nil"/>
              </w:pBdr>
              <w:spacing w:line="276" w:lineRule="auto"/>
              <w:rPr>
                <w:rFonts w:ascii="Times New Roman" w:eastAsia="Times New Roman" w:hAnsi="Times New Roman" w:cs="Times New Roman"/>
                <w:color w:val="000000"/>
                <w:sz w:val="20"/>
                <w:szCs w:val="20"/>
              </w:rPr>
            </w:pPr>
          </w:p>
        </w:tc>
        <w:tc>
          <w:tcPr>
            <w:tcW w:w="1412" w:type="dxa"/>
            <w:vMerge/>
            <w:tcBorders>
              <w:top w:val="nil"/>
              <w:left w:val="single" w:sz="8" w:space="0" w:color="000000"/>
              <w:bottom w:val="single" w:sz="8" w:space="0" w:color="000000"/>
              <w:right w:val="single" w:sz="8" w:space="0" w:color="000000"/>
            </w:tcBorders>
            <w:shd w:val="clear" w:color="auto" w:fill="auto"/>
            <w:vAlign w:val="center"/>
          </w:tcPr>
          <w:p w:rsidR="001E3D64" w:rsidRDefault="001E3D64" w:rsidP="001E3D64">
            <w:pPr>
              <w:widowControl w:val="0"/>
              <w:pBdr>
                <w:top w:val="nil"/>
                <w:left w:val="nil"/>
                <w:bottom w:val="nil"/>
                <w:right w:val="nil"/>
                <w:between w:val="nil"/>
              </w:pBdr>
              <w:spacing w:line="276" w:lineRule="auto"/>
              <w:rPr>
                <w:rFonts w:ascii="Times New Roman" w:eastAsia="Times New Roman" w:hAnsi="Times New Roman" w:cs="Times New Roman"/>
                <w:color w:val="000000"/>
                <w:sz w:val="20"/>
                <w:szCs w:val="20"/>
              </w:rPr>
            </w:pPr>
          </w:p>
        </w:tc>
        <w:tc>
          <w:tcPr>
            <w:tcW w:w="1271" w:type="dxa"/>
            <w:vMerge/>
            <w:tcBorders>
              <w:top w:val="nil"/>
              <w:left w:val="single" w:sz="8" w:space="0" w:color="000000"/>
              <w:bottom w:val="single" w:sz="8" w:space="0" w:color="000000"/>
              <w:right w:val="single" w:sz="8" w:space="0" w:color="000000"/>
            </w:tcBorders>
            <w:shd w:val="clear" w:color="auto" w:fill="auto"/>
            <w:vAlign w:val="center"/>
          </w:tcPr>
          <w:p w:rsidR="001E3D64" w:rsidRDefault="001E3D64" w:rsidP="001E3D64">
            <w:pPr>
              <w:widowControl w:val="0"/>
              <w:pBdr>
                <w:top w:val="nil"/>
                <w:left w:val="nil"/>
                <w:bottom w:val="nil"/>
                <w:right w:val="nil"/>
                <w:between w:val="nil"/>
              </w:pBdr>
              <w:spacing w:line="276" w:lineRule="auto"/>
              <w:rPr>
                <w:rFonts w:ascii="Times New Roman" w:eastAsia="Times New Roman" w:hAnsi="Times New Roman" w:cs="Times New Roman"/>
                <w:color w:val="000000"/>
                <w:sz w:val="20"/>
                <w:szCs w:val="20"/>
              </w:rPr>
            </w:pPr>
          </w:p>
        </w:tc>
        <w:tc>
          <w:tcPr>
            <w:tcW w:w="1980" w:type="dxa"/>
            <w:tcBorders>
              <w:top w:val="nil"/>
              <w:left w:val="single" w:sz="4" w:space="0" w:color="000000"/>
              <w:bottom w:val="single" w:sz="4" w:space="0" w:color="000000"/>
              <w:right w:val="single" w:sz="4" w:space="0" w:color="000000"/>
            </w:tcBorders>
            <w:shd w:val="clear" w:color="auto" w:fill="auto"/>
            <w:vAlign w:val="center"/>
          </w:tcPr>
          <w:p w:rsidR="001E3D64" w:rsidRDefault="001E3D64" w:rsidP="001E3D64">
            <w:pPr>
              <w:spacing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11.a. Participation in the elaboration of contract models and monitoring of the Annual Forest Operational Plans (POAFs) through multi-stakeholder platform.</w:t>
            </w:r>
          </w:p>
        </w:tc>
        <w:tc>
          <w:tcPr>
            <w:tcW w:w="1129" w:type="dxa"/>
            <w:vMerge/>
            <w:tcBorders>
              <w:top w:val="nil"/>
              <w:left w:val="single" w:sz="8" w:space="0" w:color="000000"/>
              <w:bottom w:val="single" w:sz="8" w:space="0" w:color="000000"/>
              <w:right w:val="single" w:sz="8" w:space="0" w:color="000000"/>
            </w:tcBorders>
            <w:shd w:val="clear" w:color="auto" w:fill="auto"/>
            <w:vAlign w:val="center"/>
          </w:tcPr>
          <w:p w:rsidR="001E3D64" w:rsidRDefault="001E3D64" w:rsidP="001E3D64">
            <w:pPr>
              <w:widowControl w:val="0"/>
              <w:pBdr>
                <w:top w:val="nil"/>
                <w:left w:val="nil"/>
                <w:bottom w:val="nil"/>
                <w:right w:val="nil"/>
                <w:between w:val="nil"/>
              </w:pBdr>
              <w:spacing w:line="276" w:lineRule="auto"/>
              <w:rPr>
                <w:rFonts w:ascii="Times New Roman" w:eastAsia="Times New Roman" w:hAnsi="Times New Roman" w:cs="Times New Roman"/>
                <w:color w:val="000000"/>
                <w:sz w:val="20"/>
                <w:szCs w:val="20"/>
              </w:rPr>
            </w:pPr>
          </w:p>
        </w:tc>
        <w:tc>
          <w:tcPr>
            <w:tcW w:w="1129" w:type="dxa"/>
            <w:vMerge/>
            <w:tcBorders>
              <w:top w:val="nil"/>
              <w:left w:val="single" w:sz="8" w:space="0" w:color="000000"/>
              <w:bottom w:val="single" w:sz="8" w:space="0" w:color="000000"/>
              <w:right w:val="single" w:sz="8" w:space="0" w:color="000000"/>
            </w:tcBorders>
            <w:shd w:val="clear" w:color="auto" w:fill="auto"/>
            <w:vAlign w:val="center"/>
          </w:tcPr>
          <w:p w:rsidR="001E3D64" w:rsidRDefault="001E3D64" w:rsidP="001E3D64">
            <w:pPr>
              <w:widowControl w:val="0"/>
              <w:pBdr>
                <w:top w:val="nil"/>
                <w:left w:val="nil"/>
                <w:bottom w:val="nil"/>
                <w:right w:val="nil"/>
                <w:between w:val="nil"/>
              </w:pBdr>
              <w:spacing w:line="276" w:lineRule="auto"/>
              <w:rPr>
                <w:rFonts w:ascii="Times New Roman" w:eastAsia="Times New Roman" w:hAnsi="Times New Roman" w:cs="Times New Roman"/>
                <w:color w:val="000000"/>
                <w:sz w:val="20"/>
                <w:szCs w:val="20"/>
              </w:rPr>
            </w:pPr>
          </w:p>
        </w:tc>
        <w:tc>
          <w:tcPr>
            <w:tcW w:w="982" w:type="dxa"/>
            <w:vMerge/>
            <w:tcBorders>
              <w:top w:val="nil"/>
              <w:left w:val="single" w:sz="8" w:space="0" w:color="000000"/>
              <w:bottom w:val="single" w:sz="8" w:space="0" w:color="000000"/>
              <w:right w:val="single" w:sz="8" w:space="0" w:color="000000"/>
            </w:tcBorders>
            <w:shd w:val="clear" w:color="auto" w:fill="auto"/>
            <w:vAlign w:val="center"/>
          </w:tcPr>
          <w:p w:rsidR="001E3D64" w:rsidRDefault="001E3D64" w:rsidP="001E3D64">
            <w:pPr>
              <w:widowControl w:val="0"/>
              <w:pBdr>
                <w:top w:val="nil"/>
                <w:left w:val="nil"/>
                <w:bottom w:val="nil"/>
                <w:right w:val="nil"/>
                <w:between w:val="nil"/>
              </w:pBdr>
              <w:spacing w:line="276" w:lineRule="auto"/>
              <w:rPr>
                <w:rFonts w:ascii="Times New Roman" w:eastAsia="Times New Roman" w:hAnsi="Times New Roman" w:cs="Times New Roman"/>
                <w:color w:val="000000"/>
                <w:sz w:val="20"/>
                <w:szCs w:val="20"/>
              </w:rPr>
            </w:pPr>
          </w:p>
        </w:tc>
        <w:tc>
          <w:tcPr>
            <w:tcW w:w="1199" w:type="dxa"/>
            <w:vMerge/>
            <w:tcBorders>
              <w:top w:val="nil"/>
              <w:left w:val="single" w:sz="8" w:space="0" w:color="000000"/>
              <w:bottom w:val="single" w:sz="8" w:space="0" w:color="000000"/>
              <w:right w:val="single" w:sz="8" w:space="0" w:color="000000"/>
            </w:tcBorders>
            <w:shd w:val="clear" w:color="auto" w:fill="A9D08E"/>
            <w:vAlign w:val="center"/>
          </w:tcPr>
          <w:p w:rsidR="001E3D64" w:rsidRDefault="001E3D64" w:rsidP="001E3D64">
            <w:pPr>
              <w:widowControl w:val="0"/>
              <w:pBdr>
                <w:top w:val="nil"/>
                <w:left w:val="nil"/>
                <w:bottom w:val="nil"/>
                <w:right w:val="nil"/>
                <w:between w:val="nil"/>
              </w:pBdr>
              <w:spacing w:line="276" w:lineRule="auto"/>
              <w:rPr>
                <w:rFonts w:ascii="Times New Roman" w:eastAsia="Times New Roman" w:hAnsi="Times New Roman" w:cs="Times New Roman"/>
                <w:color w:val="000000"/>
                <w:sz w:val="20"/>
                <w:szCs w:val="20"/>
              </w:rPr>
            </w:pPr>
          </w:p>
        </w:tc>
        <w:tc>
          <w:tcPr>
            <w:tcW w:w="704" w:type="dxa"/>
            <w:tcBorders>
              <w:top w:val="nil"/>
              <w:left w:val="nil"/>
              <w:bottom w:val="single" w:sz="4" w:space="0" w:color="000000"/>
              <w:right w:val="single" w:sz="4" w:space="0" w:color="000000"/>
            </w:tcBorders>
            <w:shd w:val="clear" w:color="auto" w:fill="auto"/>
            <w:vAlign w:val="center"/>
          </w:tcPr>
          <w:p w:rsidR="001E3D64" w:rsidRDefault="001E3D64" w:rsidP="001E3D64">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2020</w:t>
            </w:r>
          </w:p>
        </w:tc>
        <w:tc>
          <w:tcPr>
            <w:tcW w:w="704" w:type="dxa"/>
            <w:tcBorders>
              <w:top w:val="single" w:sz="4" w:space="0" w:color="000000"/>
              <w:left w:val="single" w:sz="4" w:space="0" w:color="000000"/>
              <w:bottom w:val="single" w:sz="4" w:space="0" w:color="000000"/>
              <w:right w:val="single" w:sz="4" w:space="0" w:color="000000"/>
            </w:tcBorders>
          </w:tcPr>
          <w:p w:rsidR="001E3D64" w:rsidRDefault="001E3D64" w:rsidP="001E3D64">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r>
      <w:tr w:rsidR="001E3D64">
        <w:trPr>
          <w:trHeight w:val="740"/>
        </w:trPr>
        <w:tc>
          <w:tcPr>
            <w:tcW w:w="1226" w:type="dxa"/>
            <w:vMerge/>
            <w:tcBorders>
              <w:top w:val="nil"/>
              <w:left w:val="single" w:sz="8" w:space="0" w:color="000000"/>
              <w:bottom w:val="single" w:sz="8" w:space="0" w:color="000000"/>
              <w:right w:val="single" w:sz="8" w:space="0" w:color="000000"/>
            </w:tcBorders>
            <w:shd w:val="clear" w:color="auto" w:fill="auto"/>
            <w:vAlign w:val="center"/>
          </w:tcPr>
          <w:p w:rsidR="001E3D64" w:rsidRDefault="001E3D64" w:rsidP="001E3D64">
            <w:pPr>
              <w:widowControl w:val="0"/>
              <w:pBdr>
                <w:top w:val="nil"/>
                <w:left w:val="nil"/>
                <w:bottom w:val="nil"/>
                <w:right w:val="nil"/>
                <w:between w:val="nil"/>
              </w:pBdr>
              <w:spacing w:line="276" w:lineRule="auto"/>
              <w:rPr>
                <w:rFonts w:ascii="Times New Roman" w:eastAsia="Times New Roman" w:hAnsi="Times New Roman" w:cs="Times New Roman"/>
                <w:color w:val="000000"/>
                <w:sz w:val="20"/>
                <w:szCs w:val="20"/>
              </w:rPr>
            </w:pPr>
          </w:p>
        </w:tc>
        <w:tc>
          <w:tcPr>
            <w:tcW w:w="1554" w:type="dxa"/>
            <w:vMerge/>
            <w:tcBorders>
              <w:top w:val="nil"/>
              <w:left w:val="single" w:sz="8" w:space="0" w:color="000000"/>
              <w:bottom w:val="single" w:sz="8" w:space="0" w:color="000000"/>
              <w:right w:val="single" w:sz="8" w:space="0" w:color="000000"/>
            </w:tcBorders>
            <w:shd w:val="clear" w:color="auto" w:fill="auto"/>
            <w:vAlign w:val="center"/>
          </w:tcPr>
          <w:p w:rsidR="001E3D64" w:rsidRDefault="001E3D64" w:rsidP="001E3D64">
            <w:pPr>
              <w:widowControl w:val="0"/>
              <w:pBdr>
                <w:top w:val="nil"/>
                <w:left w:val="nil"/>
                <w:bottom w:val="nil"/>
                <w:right w:val="nil"/>
                <w:between w:val="nil"/>
              </w:pBdr>
              <w:spacing w:line="276" w:lineRule="auto"/>
              <w:rPr>
                <w:rFonts w:ascii="Times New Roman" w:eastAsia="Times New Roman" w:hAnsi="Times New Roman" w:cs="Times New Roman"/>
                <w:color w:val="000000"/>
                <w:sz w:val="20"/>
                <w:szCs w:val="20"/>
              </w:rPr>
            </w:pPr>
          </w:p>
        </w:tc>
        <w:tc>
          <w:tcPr>
            <w:tcW w:w="1413" w:type="dxa"/>
            <w:vMerge/>
            <w:tcBorders>
              <w:top w:val="nil"/>
              <w:left w:val="single" w:sz="8" w:space="0" w:color="000000"/>
              <w:bottom w:val="single" w:sz="8" w:space="0" w:color="000000"/>
              <w:right w:val="single" w:sz="8" w:space="0" w:color="000000"/>
            </w:tcBorders>
            <w:shd w:val="clear" w:color="auto" w:fill="auto"/>
            <w:vAlign w:val="center"/>
          </w:tcPr>
          <w:p w:rsidR="001E3D64" w:rsidRDefault="001E3D64" w:rsidP="001E3D64">
            <w:pPr>
              <w:widowControl w:val="0"/>
              <w:pBdr>
                <w:top w:val="nil"/>
                <w:left w:val="nil"/>
                <w:bottom w:val="nil"/>
                <w:right w:val="nil"/>
                <w:between w:val="nil"/>
              </w:pBdr>
              <w:spacing w:line="276" w:lineRule="auto"/>
              <w:rPr>
                <w:rFonts w:ascii="Times New Roman" w:eastAsia="Times New Roman" w:hAnsi="Times New Roman" w:cs="Times New Roman"/>
                <w:color w:val="000000"/>
                <w:sz w:val="20"/>
                <w:szCs w:val="20"/>
              </w:rPr>
            </w:pPr>
          </w:p>
        </w:tc>
        <w:tc>
          <w:tcPr>
            <w:tcW w:w="1412" w:type="dxa"/>
            <w:vMerge/>
            <w:tcBorders>
              <w:top w:val="nil"/>
              <w:left w:val="single" w:sz="8" w:space="0" w:color="000000"/>
              <w:bottom w:val="single" w:sz="8" w:space="0" w:color="000000"/>
              <w:right w:val="single" w:sz="8" w:space="0" w:color="000000"/>
            </w:tcBorders>
            <w:shd w:val="clear" w:color="auto" w:fill="auto"/>
            <w:vAlign w:val="center"/>
          </w:tcPr>
          <w:p w:rsidR="001E3D64" w:rsidRDefault="001E3D64" w:rsidP="001E3D64">
            <w:pPr>
              <w:widowControl w:val="0"/>
              <w:pBdr>
                <w:top w:val="nil"/>
                <w:left w:val="nil"/>
                <w:bottom w:val="nil"/>
                <w:right w:val="nil"/>
                <w:between w:val="nil"/>
              </w:pBdr>
              <w:spacing w:line="276" w:lineRule="auto"/>
              <w:rPr>
                <w:rFonts w:ascii="Times New Roman" w:eastAsia="Times New Roman" w:hAnsi="Times New Roman" w:cs="Times New Roman"/>
                <w:color w:val="000000"/>
                <w:sz w:val="20"/>
                <w:szCs w:val="20"/>
              </w:rPr>
            </w:pPr>
          </w:p>
        </w:tc>
        <w:tc>
          <w:tcPr>
            <w:tcW w:w="1271" w:type="dxa"/>
            <w:vMerge/>
            <w:tcBorders>
              <w:top w:val="nil"/>
              <w:left w:val="single" w:sz="8" w:space="0" w:color="000000"/>
              <w:bottom w:val="single" w:sz="8" w:space="0" w:color="000000"/>
              <w:right w:val="single" w:sz="8" w:space="0" w:color="000000"/>
            </w:tcBorders>
            <w:shd w:val="clear" w:color="auto" w:fill="auto"/>
            <w:vAlign w:val="center"/>
          </w:tcPr>
          <w:p w:rsidR="001E3D64" w:rsidRDefault="001E3D64" w:rsidP="001E3D64">
            <w:pPr>
              <w:widowControl w:val="0"/>
              <w:pBdr>
                <w:top w:val="nil"/>
                <w:left w:val="nil"/>
                <w:bottom w:val="nil"/>
                <w:right w:val="nil"/>
                <w:between w:val="nil"/>
              </w:pBdr>
              <w:spacing w:line="276" w:lineRule="auto"/>
              <w:rPr>
                <w:rFonts w:ascii="Times New Roman" w:eastAsia="Times New Roman" w:hAnsi="Times New Roman" w:cs="Times New Roman"/>
                <w:color w:val="000000"/>
                <w:sz w:val="20"/>
                <w:szCs w:val="20"/>
              </w:rPr>
            </w:pPr>
          </w:p>
        </w:tc>
        <w:tc>
          <w:tcPr>
            <w:tcW w:w="1980" w:type="dxa"/>
            <w:tcBorders>
              <w:top w:val="nil"/>
              <w:left w:val="single" w:sz="4" w:space="0" w:color="000000"/>
              <w:bottom w:val="single" w:sz="4" w:space="0" w:color="000000"/>
              <w:right w:val="single" w:sz="4" w:space="0" w:color="000000"/>
            </w:tcBorders>
            <w:shd w:val="clear" w:color="auto" w:fill="auto"/>
            <w:vAlign w:val="center"/>
          </w:tcPr>
          <w:p w:rsidR="001E3D64" w:rsidRDefault="001E3D64" w:rsidP="001E3D64">
            <w:pPr>
              <w:spacing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11.c. Participation in meetings with forest companies to facilitate articulation with the OFC.</w:t>
            </w:r>
          </w:p>
        </w:tc>
        <w:tc>
          <w:tcPr>
            <w:tcW w:w="1129" w:type="dxa"/>
            <w:vMerge/>
            <w:tcBorders>
              <w:top w:val="nil"/>
              <w:left w:val="single" w:sz="8" w:space="0" w:color="000000"/>
              <w:bottom w:val="single" w:sz="8" w:space="0" w:color="000000"/>
              <w:right w:val="single" w:sz="8" w:space="0" w:color="000000"/>
            </w:tcBorders>
            <w:shd w:val="clear" w:color="auto" w:fill="auto"/>
            <w:vAlign w:val="center"/>
          </w:tcPr>
          <w:p w:rsidR="001E3D64" w:rsidRDefault="001E3D64" w:rsidP="001E3D64">
            <w:pPr>
              <w:widowControl w:val="0"/>
              <w:pBdr>
                <w:top w:val="nil"/>
                <w:left w:val="nil"/>
                <w:bottom w:val="nil"/>
                <w:right w:val="nil"/>
                <w:between w:val="nil"/>
              </w:pBdr>
              <w:spacing w:line="276" w:lineRule="auto"/>
              <w:rPr>
                <w:rFonts w:ascii="Times New Roman" w:eastAsia="Times New Roman" w:hAnsi="Times New Roman" w:cs="Times New Roman"/>
                <w:color w:val="000000"/>
                <w:sz w:val="20"/>
                <w:szCs w:val="20"/>
              </w:rPr>
            </w:pPr>
          </w:p>
        </w:tc>
        <w:tc>
          <w:tcPr>
            <w:tcW w:w="1129" w:type="dxa"/>
            <w:vMerge/>
            <w:tcBorders>
              <w:top w:val="nil"/>
              <w:left w:val="single" w:sz="8" w:space="0" w:color="000000"/>
              <w:bottom w:val="single" w:sz="8" w:space="0" w:color="000000"/>
              <w:right w:val="single" w:sz="8" w:space="0" w:color="000000"/>
            </w:tcBorders>
            <w:shd w:val="clear" w:color="auto" w:fill="auto"/>
            <w:vAlign w:val="center"/>
          </w:tcPr>
          <w:p w:rsidR="001E3D64" w:rsidRDefault="001E3D64" w:rsidP="001E3D64">
            <w:pPr>
              <w:widowControl w:val="0"/>
              <w:pBdr>
                <w:top w:val="nil"/>
                <w:left w:val="nil"/>
                <w:bottom w:val="nil"/>
                <w:right w:val="nil"/>
                <w:between w:val="nil"/>
              </w:pBdr>
              <w:spacing w:line="276" w:lineRule="auto"/>
              <w:rPr>
                <w:rFonts w:ascii="Times New Roman" w:eastAsia="Times New Roman" w:hAnsi="Times New Roman" w:cs="Times New Roman"/>
                <w:color w:val="000000"/>
                <w:sz w:val="20"/>
                <w:szCs w:val="20"/>
              </w:rPr>
            </w:pPr>
          </w:p>
        </w:tc>
        <w:tc>
          <w:tcPr>
            <w:tcW w:w="982" w:type="dxa"/>
            <w:vMerge/>
            <w:tcBorders>
              <w:top w:val="nil"/>
              <w:left w:val="single" w:sz="8" w:space="0" w:color="000000"/>
              <w:bottom w:val="single" w:sz="8" w:space="0" w:color="000000"/>
              <w:right w:val="single" w:sz="8" w:space="0" w:color="000000"/>
            </w:tcBorders>
            <w:shd w:val="clear" w:color="auto" w:fill="auto"/>
            <w:vAlign w:val="center"/>
          </w:tcPr>
          <w:p w:rsidR="001E3D64" w:rsidRDefault="001E3D64" w:rsidP="001E3D64">
            <w:pPr>
              <w:widowControl w:val="0"/>
              <w:pBdr>
                <w:top w:val="nil"/>
                <w:left w:val="nil"/>
                <w:bottom w:val="nil"/>
                <w:right w:val="nil"/>
                <w:between w:val="nil"/>
              </w:pBdr>
              <w:spacing w:line="276" w:lineRule="auto"/>
              <w:rPr>
                <w:rFonts w:ascii="Times New Roman" w:eastAsia="Times New Roman" w:hAnsi="Times New Roman" w:cs="Times New Roman"/>
                <w:color w:val="000000"/>
                <w:sz w:val="20"/>
                <w:szCs w:val="20"/>
              </w:rPr>
            </w:pPr>
          </w:p>
        </w:tc>
        <w:tc>
          <w:tcPr>
            <w:tcW w:w="1199" w:type="dxa"/>
            <w:vMerge/>
            <w:tcBorders>
              <w:top w:val="nil"/>
              <w:left w:val="single" w:sz="8" w:space="0" w:color="000000"/>
              <w:bottom w:val="single" w:sz="8" w:space="0" w:color="000000"/>
              <w:right w:val="single" w:sz="8" w:space="0" w:color="000000"/>
            </w:tcBorders>
            <w:shd w:val="clear" w:color="auto" w:fill="A9D08E"/>
            <w:vAlign w:val="center"/>
          </w:tcPr>
          <w:p w:rsidR="001E3D64" w:rsidRDefault="001E3D64" w:rsidP="001E3D64">
            <w:pPr>
              <w:widowControl w:val="0"/>
              <w:pBdr>
                <w:top w:val="nil"/>
                <w:left w:val="nil"/>
                <w:bottom w:val="nil"/>
                <w:right w:val="nil"/>
                <w:between w:val="nil"/>
              </w:pBdr>
              <w:spacing w:line="276" w:lineRule="auto"/>
              <w:rPr>
                <w:rFonts w:ascii="Times New Roman" w:eastAsia="Times New Roman" w:hAnsi="Times New Roman" w:cs="Times New Roman"/>
                <w:color w:val="000000"/>
                <w:sz w:val="20"/>
                <w:szCs w:val="20"/>
              </w:rPr>
            </w:pPr>
          </w:p>
        </w:tc>
        <w:tc>
          <w:tcPr>
            <w:tcW w:w="704" w:type="dxa"/>
            <w:tcBorders>
              <w:top w:val="nil"/>
              <w:left w:val="nil"/>
              <w:bottom w:val="single" w:sz="8" w:space="0" w:color="000000"/>
              <w:right w:val="single" w:sz="4" w:space="0" w:color="000000"/>
            </w:tcBorders>
            <w:shd w:val="clear" w:color="auto" w:fill="auto"/>
            <w:vAlign w:val="center"/>
          </w:tcPr>
          <w:p w:rsidR="001E3D64" w:rsidRDefault="001E3D64" w:rsidP="001E3D64">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2020</w:t>
            </w:r>
          </w:p>
        </w:tc>
        <w:tc>
          <w:tcPr>
            <w:tcW w:w="704" w:type="dxa"/>
            <w:tcBorders>
              <w:top w:val="single" w:sz="4" w:space="0" w:color="000000"/>
              <w:left w:val="single" w:sz="4" w:space="0" w:color="000000"/>
              <w:bottom w:val="single" w:sz="4" w:space="0" w:color="000000"/>
              <w:right w:val="single" w:sz="4" w:space="0" w:color="000000"/>
            </w:tcBorders>
          </w:tcPr>
          <w:p w:rsidR="001E3D64" w:rsidRDefault="001E3D64" w:rsidP="001E3D64">
            <w:pPr>
              <w:spacing w:line="240" w:lineRule="auto"/>
              <w:jc w:val="center"/>
              <w:rPr>
                <w:rFonts w:ascii="Times New Roman" w:eastAsia="Times New Roman" w:hAnsi="Times New Roman" w:cs="Times New Roman"/>
                <w:color w:val="000000"/>
                <w:sz w:val="20"/>
                <w:szCs w:val="20"/>
              </w:rPr>
            </w:pPr>
            <w:bookmarkStart w:id="2" w:name="_heading=h.30j0zll" w:colFirst="0" w:colLast="0"/>
            <w:bookmarkEnd w:id="2"/>
            <w:r>
              <w:rPr>
                <w:rFonts w:ascii="Times New Roman" w:eastAsia="Times New Roman" w:hAnsi="Times New Roman" w:cs="Times New Roman"/>
                <w:color w:val="000000"/>
                <w:sz w:val="20"/>
                <w:szCs w:val="20"/>
              </w:rPr>
              <w:t>4</w:t>
            </w:r>
          </w:p>
        </w:tc>
      </w:tr>
    </w:tbl>
    <w:p w:rsidR="000A7E4A" w:rsidRDefault="000A7E4A">
      <w:pPr>
        <w:sectPr w:rsidR="000A7E4A" w:rsidSect="0029199E">
          <w:footerReference w:type="default" r:id="rId9"/>
          <w:pgSz w:w="16838" w:h="11906" w:orient="landscape"/>
          <w:pgMar w:top="720" w:right="720" w:bottom="720" w:left="720" w:header="708" w:footer="708" w:gutter="0"/>
          <w:pgNumType w:start="1"/>
          <w:cols w:space="720" w:equalWidth="0">
            <w:col w:w="8838"/>
          </w:cols>
          <w:docGrid w:linePitch="299"/>
        </w:sectPr>
      </w:pPr>
    </w:p>
    <w:p w:rsidR="000A7E4A" w:rsidRDefault="000A7E4A"/>
    <w:p w:rsidR="000A7E4A" w:rsidRDefault="0029199E">
      <w:pPr>
        <w:pStyle w:val="Ttulo2"/>
        <w:numPr>
          <w:ilvl w:val="1"/>
          <w:numId w:val="6"/>
        </w:numPr>
      </w:pPr>
      <w:r>
        <w:t>Milestone framework</w:t>
      </w:r>
    </w:p>
    <w:p w:rsidR="000A7E4A" w:rsidRDefault="0029199E">
      <w:pPr>
        <w:rPr>
          <w:i/>
        </w:rPr>
      </w:pPr>
      <w:r>
        <w:rPr>
          <w:i/>
        </w:rPr>
        <w:t xml:space="preserve">For each outcome you expect to contribute to this year (as listed in 1.2), select up to three milestones – that can be outputs, events, or low-level outcomes – to be achieved this year. Shortly describe why and how the chosen interventions will contribute to the identified outcomes. Refer to the numbering used in your ToC. </w:t>
      </w:r>
    </w:p>
    <w:p w:rsidR="000A7E4A" w:rsidRDefault="000A7E4A"/>
    <w:tbl>
      <w:tblPr>
        <w:tblStyle w:val="ab"/>
        <w:tblW w:w="1516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65"/>
        <w:gridCol w:w="10500"/>
      </w:tblGrid>
      <w:tr w:rsidR="000A7E4A">
        <w:trPr>
          <w:trHeight w:val="940"/>
        </w:trPr>
        <w:tc>
          <w:tcPr>
            <w:tcW w:w="4665" w:type="dxa"/>
            <w:tcBorders>
              <w:top w:val="single" w:sz="4" w:space="0" w:color="000000"/>
              <w:left w:val="single" w:sz="4" w:space="0" w:color="000000"/>
              <w:bottom w:val="single" w:sz="4" w:space="0" w:color="000000"/>
              <w:right w:val="single" w:sz="4" w:space="0" w:color="000000"/>
            </w:tcBorders>
            <w:shd w:val="clear" w:color="auto" w:fill="DDEBF7"/>
            <w:vAlign w:val="center"/>
          </w:tcPr>
          <w:p w:rsidR="000A7E4A" w:rsidRDefault="0029199E">
            <w:pPr>
              <w:rPr>
                <w:b/>
              </w:rPr>
            </w:pPr>
            <w:r>
              <w:rPr>
                <w:b/>
              </w:rPr>
              <w:t>Expected outcome ToC</w:t>
            </w:r>
          </w:p>
        </w:tc>
        <w:tc>
          <w:tcPr>
            <w:tcW w:w="10500" w:type="dxa"/>
            <w:tcBorders>
              <w:top w:val="single" w:sz="4" w:space="0" w:color="000000"/>
              <w:left w:val="nil"/>
              <w:bottom w:val="single" w:sz="4" w:space="0" w:color="000000"/>
              <w:right w:val="single" w:sz="4" w:space="0" w:color="000000"/>
            </w:tcBorders>
            <w:shd w:val="clear" w:color="auto" w:fill="DDEBF7"/>
            <w:vAlign w:val="center"/>
          </w:tcPr>
          <w:p w:rsidR="000A7E4A" w:rsidRDefault="0029199E">
            <w:pPr>
              <w:rPr>
                <w:b/>
              </w:rPr>
            </w:pPr>
            <w:r>
              <w:rPr>
                <w:b/>
              </w:rPr>
              <w:t>Milestone(s)</w:t>
            </w:r>
          </w:p>
        </w:tc>
      </w:tr>
      <w:tr w:rsidR="000A7E4A">
        <w:trPr>
          <w:trHeight w:val="300"/>
        </w:trPr>
        <w:tc>
          <w:tcPr>
            <w:tcW w:w="4665" w:type="dxa"/>
            <w:tcBorders>
              <w:top w:val="nil"/>
              <w:left w:val="single" w:sz="4" w:space="0" w:color="000000"/>
              <w:bottom w:val="single" w:sz="4" w:space="0" w:color="000000"/>
              <w:right w:val="single" w:sz="4" w:space="0" w:color="000000"/>
            </w:tcBorders>
            <w:shd w:val="clear" w:color="auto" w:fill="auto"/>
            <w:vAlign w:val="center"/>
          </w:tcPr>
          <w:p w:rsidR="000A7E4A" w:rsidRDefault="0029199E">
            <w:r>
              <w:t> </w:t>
            </w:r>
            <w:r>
              <w:rPr>
                <w:sz w:val="22"/>
                <w:szCs w:val="22"/>
              </w:rPr>
              <w:t>1. The Ministry of Environment and Water recognizes the importance of community forest management for achieving the NDCs</w:t>
            </w:r>
          </w:p>
        </w:tc>
        <w:tc>
          <w:tcPr>
            <w:tcW w:w="10500" w:type="dxa"/>
            <w:tcBorders>
              <w:top w:val="nil"/>
              <w:left w:val="nil"/>
              <w:bottom w:val="single" w:sz="4" w:space="0" w:color="000000"/>
              <w:right w:val="single" w:sz="4" w:space="0" w:color="000000"/>
            </w:tcBorders>
          </w:tcPr>
          <w:p w:rsidR="000A7E4A" w:rsidRDefault="0029199E">
            <w:pPr>
              <w:rPr>
                <w:sz w:val="22"/>
                <w:szCs w:val="22"/>
              </w:rPr>
            </w:pPr>
            <w:r>
              <w:rPr>
                <w:sz w:val="22"/>
                <w:szCs w:val="22"/>
              </w:rPr>
              <w:t xml:space="preserve">1.1. An assessment of compliance with the country's NDCs in the forestry section, that can be </w:t>
            </w:r>
            <w:r w:rsidR="00F42D5F">
              <w:rPr>
                <w:sz w:val="22"/>
                <w:szCs w:val="22"/>
              </w:rPr>
              <w:t>used</w:t>
            </w:r>
            <w:r>
              <w:rPr>
                <w:sz w:val="22"/>
                <w:szCs w:val="22"/>
              </w:rPr>
              <w:t xml:space="preserve"> to establish intervention priorities to support forestry as a tool to achieve NDCs commitments. </w:t>
            </w:r>
          </w:p>
          <w:p w:rsidR="000A7E4A" w:rsidRDefault="0029199E">
            <w:pPr>
              <w:rPr>
                <w:sz w:val="22"/>
                <w:szCs w:val="22"/>
              </w:rPr>
            </w:pPr>
            <w:r>
              <w:rPr>
                <w:sz w:val="22"/>
                <w:szCs w:val="22"/>
              </w:rPr>
              <w:t>1.2. A report on the contribution of the Guarayos indigenous territory to the country´s NDCs and mitigation and adaptation to climate change.</w:t>
            </w:r>
          </w:p>
          <w:p w:rsidR="000A7E4A" w:rsidRDefault="0029199E">
            <w:r>
              <w:rPr>
                <w:sz w:val="22"/>
                <w:szCs w:val="22"/>
              </w:rPr>
              <w:t>1.3. Field visit with the Vice Ministry of Environment, Forest Directorate, Plurinational Authority of Mother Earth (APMT) and other actors in charge of the compliance of the country´s NDCs for the presentation of the study on the contribution of Guarayos to the NDCs, and create awareness of the day to day life of Guarayos´ community forest enterprises.</w:t>
            </w:r>
          </w:p>
        </w:tc>
      </w:tr>
      <w:tr w:rsidR="000A7E4A">
        <w:trPr>
          <w:trHeight w:val="300"/>
        </w:trPr>
        <w:tc>
          <w:tcPr>
            <w:tcW w:w="4665" w:type="dxa"/>
            <w:tcBorders>
              <w:top w:val="nil"/>
              <w:left w:val="single" w:sz="4" w:space="0" w:color="000000"/>
              <w:bottom w:val="single" w:sz="4" w:space="0" w:color="000000"/>
              <w:right w:val="single" w:sz="4" w:space="0" w:color="000000"/>
            </w:tcBorders>
            <w:shd w:val="clear" w:color="auto" w:fill="auto"/>
            <w:vAlign w:val="center"/>
          </w:tcPr>
          <w:p w:rsidR="000A7E4A" w:rsidRDefault="0029199E">
            <w:r>
              <w:t> </w:t>
            </w:r>
            <w:r>
              <w:rPr>
                <w:sz w:val="22"/>
                <w:szCs w:val="22"/>
              </w:rPr>
              <w:t>2. COPNAG implements an adjusted and new Territorial Life Plan that reflects the vision of their base organizations</w:t>
            </w:r>
          </w:p>
        </w:tc>
        <w:tc>
          <w:tcPr>
            <w:tcW w:w="10500" w:type="dxa"/>
            <w:tcBorders>
              <w:top w:val="nil"/>
              <w:left w:val="nil"/>
              <w:bottom w:val="single" w:sz="4" w:space="0" w:color="000000"/>
              <w:right w:val="single" w:sz="4" w:space="0" w:color="000000"/>
            </w:tcBorders>
          </w:tcPr>
          <w:p w:rsidR="000A7E4A" w:rsidRDefault="0029199E">
            <w:pPr>
              <w:pBdr>
                <w:top w:val="nil"/>
                <w:left w:val="nil"/>
                <w:bottom w:val="nil"/>
                <w:right w:val="nil"/>
                <w:between w:val="nil"/>
              </w:pBdr>
              <w:rPr>
                <w:sz w:val="22"/>
                <w:szCs w:val="22"/>
              </w:rPr>
            </w:pPr>
            <w:r>
              <w:rPr>
                <w:sz w:val="22"/>
                <w:szCs w:val="22"/>
              </w:rPr>
              <w:t>2.1. AFIG and OFCs increase awareness of COPNAG and recognition of the important role of forest management for the sustainable development of the territory.</w:t>
            </w:r>
          </w:p>
          <w:p w:rsidR="000A7E4A" w:rsidRDefault="000A7E4A"/>
        </w:tc>
      </w:tr>
      <w:tr w:rsidR="000A7E4A">
        <w:trPr>
          <w:trHeight w:val="300"/>
        </w:trPr>
        <w:tc>
          <w:tcPr>
            <w:tcW w:w="4665" w:type="dxa"/>
            <w:tcBorders>
              <w:top w:val="nil"/>
              <w:left w:val="single" w:sz="4" w:space="0" w:color="000000"/>
              <w:bottom w:val="single" w:sz="4" w:space="0" w:color="000000"/>
              <w:right w:val="single" w:sz="4" w:space="0" w:color="000000"/>
            </w:tcBorders>
            <w:shd w:val="clear" w:color="auto" w:fill="auto"/>
            <w:vAlign w:val="center"/>
          </w:tcPr>
          <w:p w:rsidR="000A7E4A" w:rsidRDefault="0029199E">
            <w:pPr>
              <w:spacing w:line="259" w:lineRule="auto"/>
            </w:pPr>
            <w:r>
              <w:rPr>
                <w:sz w:val="22"/>
                <w:szCs w:val="22"/>
              </w:rPr>
              <w:t>3. Centrales Indigenas guide the development of internal regulations related to the implementation of policies and practices that increase the resilience and sustainability of the Guarayos indigenous territory</w:t>
            </w:r>
          </w:p>
        </w:tc>
        <w:tc>
          <w:tcPr>
            <w:tcW w:w="10500" w:type="dxa"/>
            <w:tcBorders>
              <w:top w:val="nil"/>
              <w:left w:val="nil"/>
              <w:bottom w:val="single" w:sz="4" w:space="0" w:color="000000"/>
              <w:right w:val="single" w:sz="4" w:space="0" w:color="000000"/>
            </w:tcBorders>
          </w:tcPr>
          <w:p w:rsidR="000A7E4A" w:rsidRDefault="0029199E">
            <w:pPr>
              <w:rPr>
                <w:sz w:val="22"/>
                <w:szCs w:val="22"/>
              </w:rPr>
            </w:pPr>
            <w:r>
              <w:rPr>
                <w:sz w:val="22"/>
                <w:szCs w:val="22"/>
              </w:rPr>
              <w:t>3.1. CIEA internal regulations on access and use of natural resources updated.</w:t>
            </w:r>
          </w:p>
          <w:p w:rsidR="000A7E4A" w:rsidRDefault="0029199E">
            <w:r>
              <w:rPr>
                <w:sz w:val="22"/>
                <w:szCs w:val="22"/>
              </w:rPr>
              <w:t>3</w:t>
            </w:r>
            <w:r w:rsidR="00BE78E5">
              <w:rPr>
                <w:sz w:val="22"/>
                <w:szCs w:val="22"/>
              </w:rPr>
              <w:t>.2</w:t>
            </w:r>
            <w:r>
              <w:rPr>
                <w:sz w:val="22"/>
                <w:szCs w:val="22"/>
              </w:rPr>
              <w:t>. Exchange of experiences and knowledge between youth and leaders of CIEA and CECU on the organizational roles and responsibilities.</w:t>
            </w:r>
          </w:p>
        </w:tc>
      </w:tr>
      <w:tr w:rsidR="000A7E4A">
        <w:trPr>
          <w:trHeight w:val="300"/>
        </w:trPr>
        <w:tc>
          <w:tcPr>
            <w:tcW w:w="4665" w:type="dxa"/>
            <w:tcBorders>
              <w:top w:val="nil"/>
              <w:left w:val="single" w:sz="4" w:space="0" w:color="000000"/>
              <w:bottom w:val="single" w:sz="4" w:space="0" w:color="000000"/>
              <w:right w:val="single" w:sz="4" w:space="0" w:color="000000"/>
            </w:tcBorders>
            <w:shd w:val="clear" w:color="auto" w:fill="auto"/>
            <w:vAlign w:val="center"/>
          </w:tcPr>
          <w:p w:rsidR="000A7E4A" w:rsidRDefault="0029199E">
            <w:pPr>
              <w:spacing w:line="259" w:lineRule="auto"/>
            </w:pPr>
            <w:r>
              <w:rPr>
                <w:sz w:val="22"/>
                <w:szCs w:val="22"/>
              </w:rPr>
              <w:t>4. AIFG, OFCs and other producer organisations are well organised and have the technical and political capacities to represent their interests towards public, private, and civil actors</w:t>
            </w:r>
          </w:p>
        </w:tc>
        <w:tc>
          <w:tcPr>
            <w:tcW w:w="10500" w:type="dxa"/>
            <w:tcBorders>
              <w:top w:val="nil"/>
              <w:left w:val="nil"/>
              <w:bottom w:val="single" w:sz="4" w:space="0" w:color="000000"/>
              <w:right w:val="single" w:sz="4" w:space="0" w:color="000000"/>
            </w:tcBorders>
          </w:tcPr>
          <w:p w:rsidR="000A7E4A" w:rsidRDefault="0029199E">
            <w:pPr>
              <w:pBdr>
                <w:top w:val="nil"/>
                <w:left w:val="nil"/>
                <w:bottom w:val="nil"/>
                <w:right w:val="nil"/>
                <w:between w:val="nil"/>
              </w:pBdr>
              <w:rPr>
                <w:sz w:val="22"/>
                <w:szCs w:val="22"/>
              </w:rPr>
            </w:pPr>
            <w:r>
              <w:rPr>
                <w:sz w:val="22"/>
                <w:szCs w:val="22"/>
              </w:rPr>
              <w:t>4.1. Implementation of the community forest management training program through the auxiliary agents of the OFCs.</w:t>
            </w:r>
          </w:p>
          <w:p w:rsidR="000A7E4A" w:rsidRDefault="0029199E">
            <w:pPr>
              <w:pBdr>
                <w:top w:val="nil"/>
                <w:left w:val="nil"/>
                <w:bottom w:val="nil"/>
                <w:right w:val="nil"/>
                <w:between w:val="nil"/>
              </w:pBdr>
              <w:rPr>
                <w:sz w:val="22"/>
                <w:szCs w:val="22"/>
              </w:rPr>
            </w:pPr>
            <w:r>
              <w:rPr>
                <w:sz w:val="22"/>
                <w:szCs w:val="22"/>
              </w:rPr>
              <w:t>4.2. Reformulation of the GFMP based on the National Forest Certification recommendations, and updated strategic planning and internal regulations.</w:t>
            </w:r>
          </w:p>
          <w:p w:rsidR="000A7E4A" w:rsidRDefault="0029199E">
            <w:pPr>
              <w:pBdr>
                <w:top w:val="nil"/>
                <w:left w:val="nil"/>
                <w:bottom w:val="nil"/>
                <w:right w:val="nil"/>
                <w:between w:val="nil"/>
              </w:pBdr>
            </w:pPr>
            <w:r>
              <w:rPr>
                <w:sz w:val="22"/>
                <w:szCs w:val="22"/>
              </w:rPr>
              <w:t>4.3. Development an internal management and monitoring system for OFC.</w:t>
            </w:r>
          </w:p>
        </w:tc>
      </w:tr>
      <w:tr w:rsidR="000A7E4A">
        <w:trPr>
          <w:trHeight w:val="300"/>
        </w:trPr>
        <w:tc>
          <w:tcPr>
            <w:tcW w:w="4665" w:type="dxa"/>
            <w:tcBorders>
              <w:top w:val="nil"/>
              <w:left w:val="single" w:sz="4" w:space="0" w:color="000000"/>
              <w:bottom w:val="single" w:sz="4" w:space="0" w:color="000000"/>
              <w:right w:val="single" w:sz="4" w:space="0" w:color="000000"/>
            </w:tcBorders>
            <w:shd w:val="clear" w:color="auto" w:fill="auto"/>
            <w:vAlign w:val="center"/>
          </w:tcPr>
          <w:p w:rsidR="000A7E4A" w:rsidRDefault="0029199E">
            <w:pPr>
              <w:spacing w:line="259" w:lineRule="auto"/>
            </w:pPr>
            <w:r>
              <w:rPr>
                <w:sz w:val="22"/>
                <w:szCs w:val="22"/>
              </w:rPr>
              <w:t>6. Stakeholders sign agreements about the development and implementation of policies and practices that increase the resilience and sustainability of the landscape</w:t>
            </w:r>
          </w:p>
        </w:tc>
        <w:tc>
          <w:tcPr>
            <w:tcW w:w="10500" w:type="dxa"/>
            <w:tcBorders>
              <w:top w:val="nil"/>
              <w:left w:val="nil"/>
              <w:bottom w:val="single" w:sz="4" w:space="0" w:color="000000"/>
              <w:right w:val="single" w:sz="4" w:space="0" w:color="000000"/>
            </w:tcBorders>
          </w:tcPr>
          <w:p w:rsidR="000A7E4A" w:rsidRDefault="0029199E">
            <w:r>
              <w:rPr>
                <w:sz w:val="22"/>
                <w:szCs w:val="22"/>
              </w:rPr>
              <w:t>6.1. Dissemination of information on the impacts of climate change and the role of forests for the mitigation and adaptation of climate change based on the program´s communication strategy.</w:t>
            </w:r>
          </w:p>
        </w:tc>
      </w:tr>
      <w:tr w:rsidR="000A7E4A">
        <w:trPr>
          <w:trHeight w:val="300"/>
        </w:trPr>
        <w:tc>
          <w:tcPr>
            <w:tcW w:w="4665" w:type="dxa"/>
            <w:tcBorders>
              <w:top w:val="nil"/>
              <w:left w:val="single" w:sz="4" w:space="0" w:color="000000"/>
              <w:bottom w:val="single" w:sz="4" w:space="0" w:color="000000"/>
              <w:right w:val="single" w:sz="4" w:space="0" w:color="000000"/>
            </w:tcBorders>
            <w:shd w:val="clear" w:color="auto" w:fill="auto"/>
            <w:vAlign w:val="center"/>
          </w:tcPr>
          <w:p w:rsidR="000A7E4A" w:rsidRDefault="0029199E">
            <w:r>
              <w:t> </w:t>
            </w:r>
            <w:r>
              <w:rPr>
                <w:sz w:val="22"/>
                <w:szCs w:val="22"/>
              </w:rPr>
              <w:t>8. ABT fully enforces compliance of Guarayos territorial Life Plan, internal regulations and national forest and land policies in the Guarayos indigenous territory</w:t>
            </w:r>
          </w:p>
        </w:tc>
        <w:tc>
          <w:tcPr>
            <w:tcW w:w="10500" w:type="dxa"/>
            <w:tcBorders>
              <w:top w:val="nil"/>
              <w:left w:val="nil"/>
              <w:bottom w:val="single" w:sz="4" w:space="0" w:color="000000"/>
              <w:right w:val="single" w:sz="4" w:space="0" w:color="000000"/>
            </w:tcBorders>
          </w:tcPr>
          <w:p w:rsidR="000A7E4A" w:rsidRDefault="0029199E">
            <w:r>
              <w:rPr>
                <w:sz w:val="22"/>
                <w:szCs w:val="22"/>
              </w:rPr>
              <w:t>8.1 OFCs make lobby activities towards ABT to approve a proposal to reformulate PGMF using the PMIB database.</w:t>
            </w:r>
          </w:p>
          <w:p w:rsidR="000A7E4A" w:rsidRDefault="000A7E4A"/>
        </w:tc>
      </w:tr>
      <w:tr w:rsidR="000A7E4A">
        <w:trPr>
          <w:trHeight w:val="300"/>
        </w:trPr>
        <w:tc>
          <w:tcPr>
            <w:tcW w:w="4665" w:type="dxa"/>
            <w:tcBorders>
              <w:top w:val="nil"/>
              <w:left w:val="single" w:sz="4" w:space="0" w:color="000000"/>
              <w:bottom w:val="single" w:sz="4" w:space="0" w:color="000000"/>
              <w:right w:val="single" w:sz="4" w:space="0" w:color="000000"/>
            </w:tcBorders>
            <w:shd w:val="clear" w:color="auto" w:fill="auto"/>
            <w:vAlign w:val="center"/>
          </w:tcPr>
          <w:p w:rsidR="000A7E4A" w:rsidRDefault="0029199E">
            <w:r>
              <w:t> </w:t>
            </w:r>
            <w:r>
              <w:rPr>
                <w:sz w:val="22"/>
                <w:szCs w:val="22"/>
              </w:rPr>
              <w:t>9. Forest Directorate has approved legislation and policies that favour forestry business partnerships to increase forest benefits and reduce land use change</w:t>
            </w:r>
          </w:p>
        </w:tc>
        <w:tc>
          <w:tcPr>
            <w:tcW w:w="10500" w:type="dxa"/>
            <w:tcBorders>
              <w:top w:val="nil"/>
              <w:left w:val="nil"/>
              <w:bottom w:val="single" w:sz="4" w:space="0" w:color="000000"/>
              <w:right w:val="single" w:sz="4" w:space="0" w:color="000000"/>
            </w:tcBorders>
          </w:tcPr>
          <w:p w:rsidR="000A7E4A" w:rsidRDefault="0029199E" w:rsidP="00BE78E5">
            <w:r>
              <w:rPr>
                <w:sz w:val="22"/>
                <w:szCs w:val="22"/>
              </w:rPr>
              <w:t xml:space="preserve">9.1. A </w:t>
            </w:r>
            <w:r w:rsidR="00BE78E5">
              <w:rPr>
                <w:sz w:val="22"/>
                <w:szCs w:val="22"/>
              </w:rPr>
              <w:t xml:space="preserve">multi-stakeholder platform </w:t>
            </w:r>
            <w:r>
              <w:rPr>
                <w:sz w:val="22"/>
                <w:szCs w:val="22"/>
              </w:rPr>
              <w:t>established to analyze the issues related to the promotion of inclusive businesses.</w:t>
            </w:r>
          </w:p>
        </w:tc>
      </w:tr>
      <w:tr w:rsidR="000A7E4A">
        <w:trPr>
          <w:trHeight w:val="300"/>
        </w:trPr>
        <w:tc>
          <w:tcPr>
            <w:tcW w:w="4665" w:type="dxa"/>
            <w:tcBorders>
              <w:top w:val="nil"/>
              <w:left w:val="single" w:sz="4" w:space="0" w:color="000000"/>
              <w:bottom w:val="single" w:sz="4" w:space="0" w:color="000000"/>
              <w:right w:val="single" w:sz="4" w:space="0" w:color="000000"/>
            </w:tcBorders>
            <w:shd w:val="clear" w:color="auto" w:fill="auto"/>
            <w:vAlign w:val="center"/>
          </w:tcPr>
          <w:p w:rsidR="000A7E4A" w:rsidRDefault="0029199E">
            <w:pPr>
              <w:spacing w:line="259" w:lineRule="auto"/>
            </w:pPr>
            <w:r>
              <w:rPr>
                <w:sz w:val="22"/>
                <w:szCs w:val="22"/>
              </w:rPr>
              <w:t xml:space="preserve">10. Financial institutions offer innovative financial mechanisms to facilitate </w:t>
            </w:r>
          </w:p>
        </w:tc>
        <w:tc>
          <w:tcPr>
            <w:tcW w:w="10500" w:type="dxa"/>
            <w:tcBorders>
              <w:top w:val="nil"/>
              <w:left w:val="nil"/>
              <w:bottom w:val="single" w:sz="4" w:space="0" w:color="000000"/>
              <w:right w:val="single" w:sz="4" w:space="0" w:color="000000"/>
            </w:tcBorders>
          </w:tcPr>
          <w:p w:rsidR="000A7E4A" w:rsidRDefault="0029199E">
            <w:pPr>
              <w:rPr>
                <w:sz w:val="22"/>
                <w:szCs w:val="22"/>
              </w:rPr>
            </w:pPr>
            <w:r>
              <w:rPr>
                <w:sz w:val="22"/>
                <w:szCs w:val="22"/>
              </w:rPr>
              <w:t>10.1. Capacity building courses in administration and financial planning for the OFCs.</w:t>
            </w:r>
          </w:p>
          <w:p w:rsidR="000A7E4A" w:rsidRDefault="0029199E">
            <w:r>
              <w:rPr>
                <w:sz w:val="22"/>
                <w:szCs w:val="22"/>
              </w:rPr>
              <w:t>10.2. Training of financial managers of the OFCs to improve OFC´s administrative capacities.</w:t>
            </w:r>
          </w:p>
        </w:tc>
      </w:tr>
      <w:tr w:rsidR="000A7E4A">
        <w:trPr>
          <w:trHeight w:val="300"/>
        </w:trPr>
        <w:tc>
          <w:tcPr>
            <w:tcW w:w="4665" w:type="dxa"/>
            <w:tcBorders>
              <w:top w:val="nil"/>
              <w:left w:val="single" w:sz="4" w:space="0" w:color="000000"/>
              <w:bottom w:val="single" w:sz="4" w:space="0" w:color="000000"/>
              <w:right w:val="single" w:sz="4" w:space="0" w:color="000000"/>
            </w:tcBorders>
            <w:shd w:val="clear" w:color="auto" w:fill="auto"/>
            <w:vAlign w:val="center"/>
          </w:tcPr>
          <w:p w:rsidR="000A7E4A" w:rsidRDefault="0029199E">
            <w:r>
              <w:t> </w:t>
            </w:r>
            <w:r>
              <w:rPr>
                <w:sz w:val="22"/>
                <w:szCs w:val="22"/>
              </w:rPr>
              <w:t>11. Private forest enterprises co-create innovative business partnerships with OFCs and other producer organizations</w:t>
            </w:r>
          </w:p>
        </w:tc>
        <w:tc>
          <w:tcPr>
            <w:tcW w:w="10500" w:type="dxa"/>
            <w:tcBorders>
              <w:top w:val="nil"/>
              <w:left w:val="nil"/>
              <w:bottom w:val="single" w:sz="4" w:space="0" w:color="000000"/>
              <w:right w:val="single" w:sz="4" w:space="0" w:color="000000"/>
            </w:tcBorders>
          </w:tcPr>
          <w:p w:rsidR="000A7E4A" w:rsidRDefault="0029199E">
            <w:r>
              <w:rPr>
                <w:sz w:val="22"/>
                <w:szCs w:val="22"/>
              </w:rPr>
              <w:t>11.1. Support given to the multi-stakeholder dialogue process</w:t>
            </w:r>
          </w:p>
        </w:tc>
      </w:tr>
    </w:tbl>
    <w:p w:rsidR="000A7E4A" w:rsidRDefault="000A7E4A"/>
    <w:p w:rsidR="000A7E4A" w:rsidRDefault="0029199E">
      <w:pPr>
        <w:rPr>
          <w:b/>
        </w:rPr>
      </w:pPr>
      <w:r>
        <w:rPr>
          <w:b/>
        </w:rPr>
        <w:t>Timeline</w:t>
      </w:r>
    </w:p>
    <w:p w:rsidR="000A7E4A" w:rsidRDefault="000A7E4A"/>
    <w:p w:rsidR="000A7E4A" w:rsidRDefault="000A7E4A"/>
    <w:tbl>
      <w:tblPr>
        <w:tblStyle w:val="ac"/>
        <w:tblW w:w="1507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75"/>
        <w:gridCol w:w="9900"/>
        <w:gridCol w:w="630"/>
        <w:gridCol w:w="645"/>
        <w:gridCol w:w="555"/>
        <w:gridCol w:w="540"/>
        <w:gridCol w:w="630"/>
      </w:tblGrid>
      <w:tr w:rsidR="000A7E4A">
        <w:trPr>
          <w:trHeight w:val="440"/>
        </w:trPr>
        <w:tc>
          <w:tcPr>
            <w:tcW w:w="2175" w:type="dxa"/>
            <w:vMerge w:val="restart"/>
            <w:tcBorders>
              <w:top w:val="single" w:sz="4" w:space="0" w:color="000000"/>
              <w:left w:val="single" w:sz="4" w:space="0" w:color="000000"/>
              <w:bottom w:val="single" w:sz="4" w:space="0" w:color="000000"/>
              <w:right w:val="single" w:sz="4" w:space="0" w:color="000000"/>
            </w:tcBorders>
            <w:shd w:val="clear" w:color="auto" w:fill="DDEBF7"/>
            <w:vAlign w:val="center"/>
          </w:tcPr>
          <w:p w:rsidR="000A7E4A" w:rsidRDefault="0029199E">
            <w:pPr>
              <w:rPr>
                <w:b/>
              </w:rPr>
            </w:pPr>
            <w:r>
              <w:rPr>
                <w:b/>
              </w:rPr>
              <w:t>Expected outcome ToC</w:t>
            </w:r>
          </w:p>
        </w:tc>
        <w:tc>
          <w:tcPr>
            <w:tcW w:w="9900" w:type="dxa"/>
            <w:vMerge w:val="restart"/>
            <w:tcBorders>
              <w:top w:val="single" w:sz="4" w:space="0" w:color="000000"/>
              <w:left w:val="nil"/>
              <w:bottom w:val="single" w:sz="4" w:space="0" w:color="000000"/>
              <w:right w:val="single" w:sz="4" w:space="0" w:color="000000"/>
            </w:tcBorders>
            <w:shd w:val="clear" w:color="auto" w:fill="DDEBF7"/>
            <w:vAlign w:val="center"/>
          </w:tcPr>
          <w:p w:rsidR="000A7E4A" w:rsidRDefault="0029199E">
            <w:pPr>
              <w:rPr>
                <w:b/>
              </w:rPr>
            </w:pPr>
            <w:r>
              <w:rPr>
                <w:b/>
              </w:rPr>
              <w:t>Milestone(s)</w:t>
            </w:r>
          </w:p>
        </w:tc>
        <w:tc>
          <w:tcPr>
            <w:tcW w:w="630" w:type="dxa"/>
            <w:tcBorders>
              <w:top w:val="single" w:sz="4" w:space="0" w:color="000000"/>
              <w:left w:val="nil"/>
              <w:bottom w:val="single" w:sz="4" w:space="0" w:color="000000"/>
              <w:right w:val="single" w:sz="4" w:space="0" w:color="000000"/>
            </w:tcBorders>
            <w:shd w:val="clear" w:color="auto" w:fill="DDEBF7"/>
            <w:vAlign w:val="center"/>
          </w:tcPr>
          <w:p w:rsidR="000A7E4A" w:rsidRDefault="0029199E">
            <w:pPr>
              <w:jc w:val="center"/>
              <w:rPr>
                <w:b/>
              </w:rPr>
            </w:pPr>
            <w:r>
              <w:rPr>
                <w:b/>
              </w:rPr>
              <w:t>2019</w:t>
            </w:r>
          </w:p>
        </w:tc>
        <w:tc>
          <w:tcPr>
            <w:tcW w:w="2370" w:type="dxa"/>
            <w:gridSpan w:val="4"/>
            <w:tcBorders>
              <w:top w:val="single" w:sz="4" w:space="0" w:color="000000"/>
              <w:left w:val="nil"/>
              <w:bottom w:val="single" w:sz="4" w:space="0" w:color="000000"/>
              <w:right w:val="single" w:sz="4" w:space="0" w:color="000000"/>
            </w:tcBorders>
            <w:shd w:val="clear" w:color="auto" w:fill="DDEBF7"/>
            <w:vAlign w:val="center"/>
          </w:tcPr>
          <w:p w:rsidR="000A7E4A" w:rsidRDefault="0029199E">
            <w:pPr>
              <w:jc w:val="center"/>
              <w:rPr>
                <w:b/>
              </w:rPr>
            </w:pPr>
            <w:r>
              <w:rPr>
                <w:b/>
              </w:rPr>
              <w:t>2020</w:t>
            </w:r>
          </w:p>
        </w:tc>
      </w:tr>
      <w:tr w:rsidR="000A7E4A">
        <w:trPr>
          <w:trHeight w:val="600"/>
        </w:trPr>
        <w:tc>
          <w:tcPr>
            <w:tcW w:w="2175" w:type="dxa"/>
            <w:vMerge/>
            <w:tcBorders>
              <w:top w:val="single" w:sz="4" w:space="0" w:color="000000"/>
              <w:left w:val="single" w:sz="4" w:space="0" w:color="000000"/>
              <w:bottom w:val="single" w:sz="4" w:space="0" w:color="000000"/>
              <w:right w:val="single" w:sz="4" w:space="0" w:color="000000"/>
            </w:tcBorders>
            <w:shd w:val="clear" w:color="auto" w:fill="DDEBF7"/>
            <w:vAlign w:val="center"/>
          </w:tcPr>
          <w:p w:rsidR="000A7E4A" w:rsidRDefault="000A7E4A">
            <w:pPr>
              <w:rPr>
                <w:b/>
              </w:rPr>
            </w:pPr>
          </w:p>
        </w:tc>
        <w:tc>
          <w:tcPr>
            <w:tcW w:w="9900" w:type="dxa"/>
            <w:vMerge/>
            <w:tcBorders>
              <w:top w:val="single" w:sz="4" w:space="0" w:color="000000"/>
              <w:left w:val="nil"/>
              <w:bottom w:val="single" w:sz="4" w:space="0" w:color="000000"/>
              <w:right w:val="single" w:sz="4" w:space="0" w:color="000000"/>
            </w:tcBorders>
            <w:shd w:val="clear" w:color="auto" w:fill="DDEBF7"/>
            <w:vAlign w:val="center"/>
          </w:tcPr>
          <w:p w:rsidR="000A7E4A" w:rsidRDefault="000A7E4A">
            <w:pPr>
              <w:rPr>
                <w:b/>
              </w:rPr>
            </w:pPr>
          </w:p>
        </w:tc>
        <w:tc>
          <w:tcPr>
            <w:tcW w:w="630" w:type="dxa"/>
            <w:tcBorders>
              <w:top w:val="single" w:sz="4" w:space="0" w:color="000000"/>
              <w:left w:val="nil"/>
              <w:bottom w:val="single" w:sz="4" w:space="0" w:color="000000"/>
              <w:right w:val="single" w:sz="4" w:space="0" w:color="000000"/>
            </w:tcBorders>
            <w:shd w:val="clear" w:color="auto" w:fill="DDEBF7"/>
            <w:vAlign w:val="center"/>
          </w:tcPr>
          <w:p w:rsidR="000A7E4A" w:rsidRDefault="0029199E">
            <w:pPr>
              <w:rPr>
                <w:b/>
              </w:rPr>
            </w:pPr>
            <w:r>
              <w:rPr>
                <w:b/>
              </w:rPr>
              <w:t>4th</w:t>
            </w:r>
          </w:p>
        </w:tc>
        <w:tc>
          <w:tcPr>
            <w:tcW w:w="645" w:type="dxa"/>
            <w:tcBorders>
              <w:top w:val="single" w:sz="4" w:space="0" w:color="000000"/>
              <w:left w:val="nil"/>
              <w:bottom w:val="single" w:sz="4" w:space="0" w:color="000000"/>
              <w:right w:val="single" w:sz="4" w:space="0" w:color="000000"/>
            </w:tcBorders>
            <w:shd w:val="clear" w:color="auto" w:fill="DDEBF7"/>
            <w:vAlign w:val="center"/>
          </w:tcPr>
          <w:p w:rsidR="000A7E4A" w:rsidRDefault="0029199E">
            <w:pPr>
              <w:rPr>
                <w:b/>
              </w:rPr>
            </w:pPr>
            <w:r>
              <w:rPr>
                <w:b/>
              </w:rPr>
              <w:t>1st</w:t>
            </w:r>
          </w:p>
        </w:tc>
        <w:tc>
          <w:tcPr>
            <w:tcW w:w="555" w:type="dxa"/>
            <w:tcBorders>
              <w:top w:val="single" w:sz="4" w:space="0" w:color="000000"/>
              <w:left w:val="nil"/>
              <w:bottom w:val="single" w:sz="4" w:space="0" w:color="000000"/>
              <w:right w:val="single" w:sz="4" w:space="0" w:color="000000"/>
            </w:tcBorders>
            <w:shd w:val="clear" w:color="auto" w:fill="DDEBF7"/>
            <w:vAlign w:val="center"/>
          </w:tcPr>
          <w:p w:rsidR="000A7E4A" w:rsidRDefault="0029199E">
            <w:pPr>
              <w:rPr>
                <w:b/>
              </w:rPr>
            </w:pPr>
            <w:r>
              <w:rPr>
                <w:b/>
              </w:rPr>
              <w:t>2nd</w:t>
            </w:r>
          </w:p>
        </w:tc>
        <w:tc>
          <w:tcPr>
            <w:tcW w:w="540" w:type="dxa"/>
            <w:tcBorders>
              <w:top w:val="single" w:sz="4" w:space="0" w:color="000000"/>
              <w:left w:val="nil"/>
              <w:bottom w:val="single" w:sz="4" w:space="0" w:color="000000"/>
              <w:right w:val="single" w:sz="4" w:space="0" w:color="000000"/>
            </w:tcBorders>
            <w:shd w:val="clear" w:color="auto" w:fill="DDEBF7"/>
            <w:vAlign w:val="center"/>
          </w:tcPr>
          <w:p w:rsidR="000A7E4A" w:rsidRDefault="0029199E">
            <w:pPr>
              <w:rPr>
                <w:b/>
              </w:rPr>
            </w:pPr>
            <w:r>
              <w:rPr>
                <w:b/>
              </w:rPr>
              <w:t>3th</w:t>
            </w:r>
          </w:p>
        </w:tc>
        <w:tc>
          <w:tcPr>
            <w:tcW w:w="630" w:type="dxa"/>
            <w:tcBorders>
              <w:top w:val="single" w:sz="4" w:space="0" w:color="000000"/>
              <w:left w:val="nil"/>
              <w:bottom w:val="single" w:sz="4" w:space="0" w:color="000000"/>
              <w:right w:val="single" w:sz="4" w:space="0" w:color="000000"/>
            </w:tcBorders>
            <w:shd w:val="clear" w:color="auto" w:fill="DDEBF7"/>
            <w:vAlign w:val="center"/>
          </w:tcPr>
          <w:p w:rsidR="000A7E4A" w:rsidRDefault="0029199E">
            <w:pPr>
              <w:rPr>
                <w:b/>
              </w:rPr>
            </w:pPr>
            <w:r>
              <w:rPr>
                <w:b/>
              </w:rPr>
              <w:t>4th</w:t>
            </w:r>
          </w:p>
        </w:tc>
      </w:tr>
      <w:tr w:rsidR="000A7E4A">
        <w:trPr>
          <w:trHeight w:val="620"/>
        </w:trPr>
        <w:tc>
          <w:tcPr>
            <w:tcW w:w="2175" w:type="dxa"/>
            <w:vMerge w:val="restart"/>
            <w:tcBorders>
              <w:top w:val="nil"/>
              <w:left w:val="single" w:sz="4" w:space="0" w:color="000000"/>
              <w:bottom w:val="single" w:sz="4" w:space="0" w:color="000000"/>
              <w:right w:val="single" w:sz="4" w:space="0" w:color="000000"/>
            </w:tcBorders>
            <w:shd w:val="clear" w:color="auto" w:fill="auto"/>
            <w:vAlign w:val="center"/>
          </w:tcPr>
          <w:p w:rsidR="000A7E4A" w:rsidRDefault="0029199E">
            <w:r>
              <w:t> </w:t>
            </w:r>
            <w:r>
              <w:rPr>
                <w:sz w:val="22"/>
                <w:szCs w:val="22"/>
              </w:rPr>
              <w:t>1. The Ministry of Environment and Water recognizes the importance of community forest management for achieving the NDCs</w:t>
            </w:r>
          </w:p>
        </w:tc>
        <w:tc>
          <w:tcPr>
            <w:tcW w:w="9900" w:type="dxa"/>
            <w:tcBorders>
              <w:top w:val="nil"/>
              <w:left w:val="nil"/>
              <w:bottom w:val="single" w:sz="4" w:space="0" w:color="000000"/>
              <w:right w:val="single" w:sz="4" w:space="0" w:color="000000"/>
            </w:tcBorders>
          </w:tcPr>
          <w:p w:rsidR="000A7E4A" w:rsidRDefault="0029199E">
            <w:pPr>
              <w:rPr>
                <w:sz w:val="22"/>
                <w:szCs w:val="22"/>
              </w:rPr>
            </w:pPr>
            <w:r>
              <w:rPr>
                <w:sz w:val="22"/>
                <w:szCs w:val="22"/>
              </w:rPr>
              <w:t>1.1. An assessment of compliance with the country's NDCs in the forestry section, that can be use to establish intervention priorities to support forestry as a tool to achieve NDCs commitments.</w:t>
            </w:r>
          </w:p>
          <w:p w:rsidR="000A7E4A" w:rsidRDefault="000A7E4A"/>
        </w:tc>
        <w:tc>
          <w:tcPr>
            <w:tcW w:w="630" w:type="dxa"/>
            <w:tcBorders>
              <w:top w:val="nil"/>
              <w:left w:val="nil"/>
              <w:bottom w:val="single" w:sz="4" w:space="0" w:color="000000"/>
              <w:right w:val="single" w:sz="4" w:space="0" w:color="000000"/>
            </w:tcBorders>
            <w:shd w:val="clear" w:color="auto" w:fill="666666"/>
          </w:tcPr>
          <w:p w:rsidR="000A7E4A" w:rsidRDefault="000A7E4A">
            <w:pPr>
              <w:rPr>
                <w:sz w:val="22"/>
                <w:szCs w:val="22"/>
              </w:rPr>
            </w:pPr>
          </w:p>
        </w:tc>
        <w:tc>
          <w:tcPr>
            <w:tcW w:w="645" w:type="dxa"/>
            <w:tcBorders>
              <w:top w:val="nil"/>
              <w:left w:val="nil"/>
              <w:bottom w:val="single" w:sz="4" w:space="0" w:color="000000"/>
              <w:right w:val="single" w:sz="4" w:space="0" w:color="000000"/>
            </w:tcBorders>
          </w:tcPr>
          <w:p w:rsidR="000A7E4A" w:rsidRDefault="000A7E4A">
            <w:pPr>
              <w:rPr>
                <w:sz w:val="22"/>
                <w:szCs w:val="22"/>
              </w:rPr>
            </w:pPr>
          </w:p>
        </w:tc>
        <w:tc>
          <w:tcPr>
            <w:tcW w:w="555" w:type="dxa"/>
            <w:tcBorders>
              <w:top w:val="nil"/>
              <w:left w:val="nil"/>
              <w:bottom w:val="single" w:sz="4" w:space="0" w:color="000000"/>
              <w:right w:val="single" w:sz="4" w:space="0" w:color="000000"/>
            </w:tcBorders>
          </w:tcPr>
          <w:p w:rsidR="000A7E4A" w:rsidRDefault="000A7E4A">
            <w:pPr>
              <w:rPr>
                <w:sz w:val="22"/>
                <w:szCs w:val="22"/>
              </w:rPr>
            </w:pPr>
          </w:p>
        </w:tc>
        <w:tc>
          <w:tcPr>
            <w:tcW w:w="540" w:type="dxa"/>
            <w:tcBorders>
              <w:top w:val="nil"/>
              <w:left w:val="nil"/>
              <w:bottom w:val="single" w:sz="4" w:space="0" w:color="000000"/>
              <w:right w:val="single" w:sz="4" w:space="0" w:color="000000"/>
            </w:tcBorders>
          </w:tcPr>
          <w:p w:rsidR="000A7E4A" w:rsidRDefault="000A7E4A">
            <w:pPr>
              <w:rPr>
                <w:sz w:val="22"/>
                <w:szCs w:val="22"/>
              </w:rPr>
            </w:pPr>
          </w:p>
        </w:tc>
        <w:tc>
          <w:tcPr>
            <w:tcW w:w="630" w:type="dxa"/>
            <w:tcBorders>
              <w:top w:val="nil"/>
              <w:left w:val="nil"/>
              <w:bottom w:val="single" w:sz="4" w:space="0" w:color="000000"/>
              <w:right w:val="single" w:sz="4" w:space="0" w:color="000000"/>
            </w:tcBorders>
          </w:tcPr>
          <w:p w:rsidR="000A7E4A" w:rsidRDefault="000A7E4A">
            <w:pPr>
              <w:rPr>
                <w:sz w:val="22"/>
                <w:szCs w:val="22"/>
              </w:rPr>
            </w:pPr>
          </w:p>
        </w:tc>
      </w:tr>
      <w:tr w:rsidR="000A7E4A">
        <w:trPr>
          <w:trHeight w:val="700"/>
        </w:trPr>
        <w:tc>
          <w:tcPr>
            <w:tcW w:w="2175" w:type="dxa"/>
            <w:vMerge/>
            <w:tcBorders>
              <w:top w:val="nil"/>
              <w:left w:val="single" w:sz="4" w:space="0" w:color="000000"/>
              <w:bottom w:val="single" w:sz="4" w:space="0" w:color="000000"/>
              <w:right w:val="single" w:sz="4" w:space="0" w:color="000000"/>
            </w:tcBorders>
            <w:shd w:val="clear" w:color="auto" w:fill="auto"/>
            <w:vAlign w:val="center"/>
          </w:tcPr>
          <w:p w:rsidR="000A7E4A" w:rsidRDefault="000A7E4A"/>
        </w:tc>
        <w:tc>
          <w:tcPr>
            <w:tcW w:w="9900" w:type="dxa"/>
            <w:tcBorders>
              <w:top w:val="nil"/>
              <w:left w:val="nil"/>
              <w:bottom w:val="single" w:sz="4" w:space="0" w:color="000000"/>
              <w:right w:val="single" w:sz="4" w:space="0" w:color="000000"/>
            </w:tcBorders>
          </w:tcPr>
          <w:p w:rsidR="000A7E4A" w:rsidRDefault="0029199E">
            <w:pPr>
              <w:rPr>
                <w:sz w:val="22"/>
                <w:szCs w:val="22"/>
              </w:rPr>
            </w:pPr>
            <w:r>
              <w:rPr>
                <w:sz w:val="22"/>
                <w:szCs w:val="22"/>
              </w:rPr>
              <w:t>1.2. A report on the contribution of the Guarayos indigenous territory to the country´s NDCs and mitigation and adaptation to climate change.</w:t>
            </w:r>
          </w:p>
        </w:tc>
        <w:tc>
          <w:tcPr>
            <w:tcW w:w="630" w:type="dxa"/>
            <w:tcBorders>
              <w:top w:val="nil"/>
              <w:left w:val="nil"/>
              <w:bottom w:val="single" w:sz="4" w:space="0" w:color="000000"/>
              <w:right w:val="single" w:sz="4" w:space="0" w:color="000000"/>
            </w:tcBorders>
          </w:tcPr>
          <w:p w:rsidR="000A7E4A" w:rsidRDefault="000A7E4A">
            <w:pPr>
              <w:rPr>
                <w:sz w:val="22"/>
                <w:szCs w:val="22"/>
              </w:rPr>
            </w:pPr>
          </w:p>
        </w:tc>
        <w:tc>
          <w:tcPr>
            <w:tcW w:w="645" w:type="dxa"/>
            <w:tcBorders>
              <w:top w:val="nil"/>
              <w:left w:val="nil"/>
              <w:bottom w:val="single" w:sz="4" w:space="0" w:color="000000"/>
              <w:right w:val="single" w:sz="4" w:space="0" w:color="000000"/>
            </w:tcBorders>
          </w:tcPr>
          <w:p w:rsidR="000A7E4A" w:rsidRDefault="000A7E4A">
            <w:pPr>
              <w:rPr>
                <w:sz w:val="22"/>
                <w:szCs w:val="22"/>
              </w:rPr>
            </w:pPr>
          </w:p>
        </w:tc>
        <w:tc>
          <w:tcPr>
            <w:tcW w:w="555" w:type="dxa"/>
            <w:tcBorders>
              <w:top w:val="nil"/>
              <w:left w:val="nil"/>
              <w:bottom w:val="single" w:sz="4" w:space="0" w:color="000000"/>
              <w:right w:val="single" w:sz="4" w:space="0" w:color="000000"/>
            </w:tcBorders>
            <w:shd w:val="clear" w:color="auto" w:fill="666666"/>
          </w:tcPr>
          <w:p w:rsidR="000A7E4A" w:rsidRDefault="000A7E4A">
            <w:pPr>
              <w:rPr>
                <w:sz w:val="22"/>
                <w:szCs w:val="22"/>
              </w:rPr>
            </w:pPr>
          </w:p>
        </w:tc>
        <w:tc>
          <w:tcPr>
            <w:tcW w:w="540" w:type="dxa"/>
            <w:tcBorders>
              <w:top w:val="nil"/>
              <w:left w:val="nil"/>
              <w:bottom w:val="single" w:sz="4" w:space="0" w:color="000000"/>
              <w:right w:val="single" w:sz="4" w:space="0" w:color="000000"/>
            </w:tcBorders>
          </w:tcPr>
          <w:p w:rsidR="000A7E4A" w:rsidRDefault="000A7E4A">
            <w:pPr>
              <w:rPr>
                <w:sz w:val="22"/>
                <w:szCs w:val="22"/>
              </w:rPr>
            </w:pPr>
          </w:p>
        </w:tc>
        <w:tc>
          <w:tcPr>
            <w:tcW w:w="630" w:type="dxa"/>
            <w:tcBorders>
              <w:top w:val="nil"/>
              <w:left w:val="nil"/>
              <w:bottom w:val="single" w:sz="4" w:space="0" w:color="000000"/>
              <w:right w:val="single" w:sz="4" w:space="0" w:color="000000"/>
            </w:tcBorders>
          </w:tcPr>
          <w:p w:rsidR="000A7E4A" w:rsidRDefault="000A7E4A">
            <w:pPr>
              <w:rPr>
                <w:sz w:val="22"/>
                <w:szCs w:val="22"/>
              </w:rPr>
            </w:pPr>
          </w:p>
        </w:tc>
      </w:tr>
      <w:tr w:rsidR="000A7E4A">
        <w:trPr>
          <w:trHeight w:val="1120"/>
        </w:trPr>
        <w:tc>
          <w:tcPr>
            <w:tcW w:w="2175" w:type="dxa"/>
            <w:vMerge/>
            <w:tcBorders>
              <w:top w:val="nil"/>
              <w:left w:val="single" w:sz="4" w:space="0" w:color="000000"/>
              <w:bottom w:val="single" w:sz="4" w:space="0" w:color="000000"/>
              <w:right w:val="single" w:sz="4" w:space="0" w:color="000000"/>
            </w:tcBorders>
            <w:shd w:val="clear" w:color="auto" w:fill="auto"/>
            <w:vAlign w:val="center"/>
          </w:tcPr>
          <w:p w:rsidR="000A7E4A" w:rsidRDefault="000A7E4A"/>
        </w:tc>
        <w:tc>
          <w:tcPr>
            <w:tcW w:w="9900" w:type="dxa"/>
            <w:tcBorders>
              <w:top w:val="nil"/>
              <w:left w:val="nil"/>
              <w:bottom w:val="single" w:sz="4" w:space="0" w:color="000000"/>
              <w:right w:val="single" w:sz="4" w:space="0" w:color="000000"/>
            </w:tcBorders>
          </w:tcPr>
          <w:p w:rsidR="000A7E4A" w:rsidRDefault="0029199E">
            <w:r>
              <w:rPr>
                <w:sz w:val="22"/>
                <w:szCs w:val="22"/>
              </w:rPr>
              <w:t>1.3. Field visit with the Vice Ministry of Environment, Forest Directorate, Plurinational Authority of Mother Earth (APMT) and other actors in charge of the compliance of the country´s NDCs for the presentation of the study on the contribution of Guarayos to the NDCs, and create awareness of the day to day life of Guarayos´ community forest enterprises.</w:t>
            </w:r>
          </w:p>
          <w:p w:rsidR="000A7E4A" w:rsidRDefault="000A7E4A">
            <w:pPr>
              <w:rPr>
                <w:sz w:val="22"/>
                <w:szCs w:val="22"/>
              </w:rPr>
            </w:pPr>
          </w:p>
        </w:tc>
        <w:tc>
          <w:tcPr>
            <w:tcW w:w="630" w:type="dxa"/>
            <w:tcBorders>
              <w:top w:val="nil"/>
              <w:left w:val="nil"/>
              <w:bottom w:val="single" w:sz="4" w:space="0" w:color="000000"/>
              <w:right w:val="single" w:sz="4" w:space="0" w:color="000000"/>
            </w:tcBorders>
          </w:tcPr>
          <w:p w:rsidR="000A7E4A" w:rsidRDefault="000A7E4A">
            <w:pPr>
              <w:rPr>
                <w:sz w:val="22"/>
                <w:szCs w:val="22"/>
              </w:rPr>
            </w:pPr>
          </w:p>
        </w:tc>
        <w:tc>
          <w:tcPr>
            <w:tcW w:w="645" w:type="dxa"/>
            <w:tcBorders>
              <w:top w:val="nil"/>
              <w:left w:val="nil"/>
              <w:bottom w:val="single" w:sz="4" w:space="0" w:color="000000"/>
              <w:right w:val="single" w:sz="4" w:space="0" w:color="000000"/>
            </w:tcBorders>
          </w:tcPr>
          <w:p w:rsidR="000A7E4A" w:rsidRDefault="000A7E4A">
            <w:pPr>
              <w:rPr>
                <w:sz w:val="22"/>
                <w:szCs w:val="22"/>
              </w:rPr>
            </w:pPr>
          </w:p>
        </w:tc>
        <w:tc>
          <w:tcPr>
            <w:tcW w:w="555" w:type="dxa"/>
            <w:tcBorders>
              <w:top w:val="nil"/>
              <w:left w:val="nil"/>
              <w:bottom w:val="single" w:sz="4" w:space="0" w:color="000000"/>
              <w:right w:val="single" w:sz="4" w:space="0" w:color="000000"/>
            </w:tcBorders>
          </w:tcPr>
          <w:p w:rsidR="000A7E4A" w:rsidRDefault="000A7E4A">
            <w:pPr>
              <w:rPr>
                <w:sz w:val="22"/>
                <w:szCs w:val="22"/>
              </w:rPr>
            </w:pPr>
          </w:p>
        </w:tc>
        <w:tc>
          <w:tcPr>
            <w:tcW w:w="540" w:type="dxa"/>
            <w:tcBorders>
              <w:top w:val="nil"/>
              <w:left w:val="nil"/>
              <w:bottom w:val="single" w:sz="4" w:space="0" w:color="000000"/>
              <w:right w:val="single" w:sz="4" w:space="0" w:color="000000"/>
            </w:tcBorders>
            <w:shd w:val="clear" w:color="auto" w:fill="666666"/>
          </w:tcPr>
          <w:p w:rsidR="000A7E4A" w:rsidRDefault="000A7E4A">
            <w:pPr>
              <w:rPr>
                <w:sz w:val="22"/>
                <w:szCs w:val="22"/>
              </w:rPr>
            </w:pPr>
          </w:p>
        </w:tc>
        <w:tc>
          <w:tcPr>
            <w:tcW w:w="630" w:type="dxa"/>
            <w:tcBorders>
              <w:top w:val="nil"/>
              <w:left w:val="nil"/>
              <w:bottom w:val="single" w:sz="4" w:space="0" w:color="000000"/>
              <w:right w:val="single" w:sz="4" w:space="0" w:color="000000"/>
            </w:tcBorders>
          </w:tcPr>
          <w:p w:rsidR="000A7E4A" w:rsidRDefault="000A7E4A">
            <w:pPr>
              <w:rPr>
                <w:sz w:val="22"/>
                <w:szCs w:val="22"/>
              </w:rPr>
            </w:pPr>
          </w:p>
        </w:tc>
      </w:tr>
      <w:tr w:rsidR="000A7E4A">
        <w:trPr>
          <w:trHeight w:val="300"/>
        </w:trPr>
        <w:tc>
          <w:tcPr>
            <w:tcW w:w="2175" w:type="dxa"/>
            <w:tcBorders>
              <w:top w:val="nil"/>
              <w:left w:val="single" w:sz="4" w:space="0" w:color="000000"/>
              <w:bottom w:val="single" w:sz="4" w:space="0" w:color="000000"/>
              <w:right w:val="single" w:sz="4" w:space="0" w:color="000000"/>
            </w:tcBorders>
            <w:shd w:val="clear" w:color="auto" w:fill="auto"/>
            <w:vAlign w:val="center"/>
          </w:tcPr>
          <w:p w:rsidR="000A7E4A" w:rsidRDefault="0029199E">
            <w:r>
              <w:t> </w:t>
            </w:r>
            <w:r>
              <w:rPr>
                <w:sz w:val="22"/>
                <w:szCs w:val="22"/>
              </w:rPr>
              <w:t>2. COPNAG implements an adjusted and new Territorial Life Plan that reflects the vision of their base organizations</w:t>
            </w:r>
          </w:p>
        </w:tc>
        <w:tc>
          <w:tcPr>
            <w:tcW w:w="9900" w:type="dxa"/>
            <w:tcBorders>
              <w:top w:val="nil"/>
              <w:left w:val="nil"/>
              <w:bottom w:val="single" w:sz="4" w:space="0" w:color="000000"/>
              <w:right w:val="single" w:sz="4" w:space="0" w:color="000000"/>
            </w:tcBorders>
          </w:tcPr>
          <w:p w:rsidR="000A7E4A" w:rsidRDefault="0029199E">
            <w:pPr>
              <w:rPr>
                <w:sz w:val="22"/>
                <w:szCs w:val="22"/>
              </w:rPr>
            </w:pPr>
            <w:r>
              <w:rPr>
                <w:sz w:val="22"/>
                <w:szCs w:val="22"/>
              </w:rPr>
              <w:t>2.1. AFIG and OFCs increase awareness of COPNAG and recognition of the important role of forest management for the sustainable development of the territory.</w:t>
            </w:r>
          </w:p>
          <w:p w:rsidR="000A7E4A" w:rsidRDefault="000A7E4A"/>
        </w:tc>
        <w:tc>
          <w:tcPr>
            <w:tcW w:w="630" w:type="dxa"/>
            <w:tcBorders>
              <w:top w:val="nil"/>
              <w:left w:val="nil"/>
              <w:bottom w:val="single" w:sz="4" w:space="0" w:color="000000"/>
              <w:right w:val="single" w:sz="4" w:space="0" w:color="000000"/>
            </w:tcBorders>
          </w:tcPr>
          <w:p w:rsidR="000A7E4A" w:rsidRDefault="000A7E4A">
            <w:pPr>
              <w:rPr>
                <w:sz w:val="22"/>
                <w:szCs w:val="22"/>
              </w:rPr>
            </w:pPr>
          </w:p>
        </w:tc>
        <w:tc>
          <w:tcPr>
            <w:tcW w:w="645" w:type="dxa"/>
            <w:tcBorders>
              <w:top w:val="nil"/>
              <w:left w:val="nil"/>
              <w:bottom w:val="single" w:sz="4" w:space="0" w:color="000000"/>
              <w:right w:val="single" w:sz="4" w:space="0" w:color="000000"/>
            </w:tcBorders>
          </w:tcPr>
          <w:p w:rsidR="000A7E4A" w:rsidRDefault="000A7E4A">
            <w:pPr>
              <w:rPr>
                <w:sz w:val="22"/>
                <w:szCs w:val="22"/>
              </w:rPr>
            </w:pPr>
          </w:p>
        </w:tc>
        <w:tc>
          <w:tcPr>
            <w:tcW w:w="555" w:type="dxa"/>
            <w:tcBorders>
              <w:top w:val="nil"/>
              <w:left w:val="nil"/>
              <w:bottom w:val="single" w:sz="4" w:space="0" w:color="000000"/>
              <w:right w:val="single" w:sz="4" w:space="0" w:color="000000"/>
            </w:tcBorders>
            <w:shd w:val="clear" w:color="auto" w:fill="666666"/>
          </w:tcPr>
          <w:p w:rsidR="000A7E4A" w:rsidRDefault="000A7E4A">
            <w:pPr>
              <w:rPr>
                <w:sz w:val="22"/>
                <w:szCs w:val="22"/>
              </w:rPr>
            </w:pPr>
          </w:p>
        </w:tc>
        <w:tc>
          <w:tcPr>
            <w:tcW w:w="540" w:type="dxa"/>
            <w:tcBorders>
              <w:top w:val="nil"/>
              <w:left w:val="nil"/>
              <w:bottom w:val="single" w:sz="4" w:space="0" w:color="000000"/>
              <w:right w:val="single" w:sz="4" w:space="0" w:color="000000"/>
            </w:tcBorders>
          </w:tcPr>
          <w:p w:rsidR="000A7E4A" w:rsidRDefault="000A7E4A">
            <w:pPr>
              <w:rPr>
                <w:sz w:val="22"/>
                <w:szCs w:val="22"/>
              </w:rPr>
            </w:pPr>
          </w:p>
        </w:tc>
        <w:tc>
          <w:tcPr>
            <w:tcW w:w="630" w:type="dxa"/>
            <w:tcBorders>
              <w:top w:val="nil"/>
              <w:left w:val="nil"/>
              <w:bottom w:val="single" w:sz="4" w:space="0" w:color="000000"/>
              <w:right w:val="single" w:sz="4" w:space="0" w:color="000000"/>
            </w:tcBorders>
          </w:tcPr>
          <w:p w:rsidR="000A7E4A" w:rsidRDefault="000A7E4A">
            <w:pPr>
              <w:rPr>
                <w:sz w:val="22"/>
                <w:szCs w:val="22"/>
              </w:rPr>
            </w:pPr>
          </w:p>
        </w:tc>
      </w:tr>
      <w:tr w:rsidR="000A7E4A">
        <w:trPr>
          <w:trHeight w:val="300"/>
        </w:trPr>
        <w:tc>
          <w:tcPr>
            <w:tcW w:w="2175" w:type="dxa"/>
            <w:vMerge w:val="restart"/>
            <w:tcBorders>
              <w:top w:val="nil"/>
              <w:left w:val="single" w:sz="4" w:space="0" w:color="000000"/>
              <w:bottom w:val="single" w:sz="4" w:space="0" w:color="000000"/>
              <w:right w:val="single" w:sz="4" w:space="0" w:color="000000"/>
            </w:tcBorders>
            <w:shd w:val="clear" w:color="auto" w:fill="auto"/>
            <w:vAlign w:val="center"/>
          </w:tcPr>
          <w:p w:rsidR="000A7E4A" w:rsidRDefault="0029199E">
            <w:r>
              <w:rPr>
                <w:sz w:val="22"/>
                <w:szCs w:val="22"/>
              </w:rPr>
              <w:t>3. Centrales Indigenas guide the development of internal regulations related to the implementation of policies and practices that increase the resilience and sustainability of the Guarayos indigenous territory</w:t>
            </w:r>
          </w:p>
        </w:tc>
        <w:tc>
          <w:tcPr>
            <w:tcW w:w="9900" w:type="dxa"/>
            <w:tcBorders>
              <w:top w:val="nil"/>
              <w:left w:val="nil"/>
              <w:bottom w:val="single" w:sz="4" w:space="0" w:color="000000"/>
              <w:right w:val="single" w:sz="4" w:space="0" w:color="000000"/>
            </w:tcBorders>
          </w:tcPr>
          <w:p w:rsidR="000A7E4A" w:rsidRDefault="0029199E">
            <w:pPr>
              <w:rPr>
                <w:sz w:val="22"/>
                <w:szCs w:val="22"/>
              </w:rPr>
            </w:pPr>
            <w:r>
              <w:rPr>
                <w:sz w:val="22"/>
                <w:szCs w:val="22"/>
              </w:rPr>
              <w:t>3.1. CIEA internal regulations on access and use of natural resources updated.</w:t>
            </w:r>
          </w:p>
          <w:p w:rsidR="000A7E4A" w:rsidRDefault="000A7E4A">
            <w:pPr>
              <w:rPr>
                <w:sz w:val="22"/>
                <w:szCs w:val="22"/>
              </w:rPr>
            </w:pPr>
          </w:p>
          <w:p w:rsidR="000A7E4A" w:rsidRDefault="000A7E4A"/>
        </w:tc>
        <w:tc>
          <w:tcPr>
            <w:tcW w:w="630" w:type="dxa"/>
            <w:tcBorders>
              <w:top w:val="nil"/>
              <w:left w:val="nil"/>
              <w:bottom w:val="single" w:sz="4" w:space="0" w:color="000000"/>
              <w:right w:val="single" w:sz="4" w:space="0" w:color="000000"/>
            </w:tcBorders>
            <w:shd w:val="clear" w:color="auto" w:fill="666666"/>
          </w:tcPr>
          <w:p w:rsidR="000A7E4A" w:rsidRDefault="000A7E4A">
            <w:pPr>
              <w:rPr>
                <w:sz w:val="22"/>
                <w:szCs w:val="22"/>
              </w:rPr>
            </w:pPr>
          </w:p>
        </w:tc>
        <w:tc>
          <w:tcPr>
            <w:tcW w:w="645" w:type="dxa"/>
            <w:tcBorders>
              <w:top w:val="nil"/>
              <w:left w:val="nil"/>
              <w:bottom w:val="single" w:sz="4" w:space="0" w:color="000000"/>
              <w:right w:val="single" w:sz="4" w:space="0" w:color="000000"/>
            </w:tcBorders>
          </w:tcPr>
          <w:p w:rsidR="000A7E4A" w:rsidRDefault="000A7E4A">
            <w:pPr>
              <w:rPr>
                <w:sz w:val="22"/>
                <w:szCs w:val="22"/>
              </w:rPr>
            </w:pPr>
          </w:p>
        </w:tc>
        <w:tc>
          <w:tcPr>
            <w:tcW w:w="555" w:type="dxa"/>
            <w:tcBorders>
              <w:top w:val="nil"/>
              <w:left w:val="nil"/>
              <w:bottom w:val="single" w:sz="4" w:space="0" w:color="000000"/>
              <w:right w:val="single" w:sz="4" w:space="0" w:color="000000"/>
            </w:tcBorders>
          </w:tcPr>
          <w:p w:rsidR="000A7E4A" w:rsidRDefault="000A7E4A">
            <w:pPr>
              <w:rPr>
                <w:sz w:val="22"/>
                <w:szCs w:val="22"/>
              </w:rPr>
            </w:pPr>
          </w:p>
        </w:tc>
        <w:tc>
          <w:tcPr>
            <w:tcW w:w="540" w:type="dxa"/>
            <w:tcBorders>
              <w:top w:val="nil"/>
              <w:left w:val="nil"/>
              <w:bottom w:val="single" w:sz="4" w:space="0" w:color="000000"/>
              <w:right w:val="single" w:sz="4" w:space="0" w:color="000000"/>
            </w:tcBorders>
          </w:tcPr>
          <w:p w:rsidR="000A7E4A" w:rsidRDefault="000A7E4A">
            <w:pPr>
              <w:rPr>
                <w:sz w:val="22"/>
                <w:szCs w:val="22"/>
              </w:rPr>
            </w:pPr>
          </w:p>
        </w:tc>
        <w:tc>
          <w:tcPr>
            <w:tcW w:w="630" w:type="dxa"/>
            <w:tcBorders>
              <w:top w:val="nil"/>
              <w:left w:val="nil"/>
              <w:bottom w:val="single" w:sz="4" w:space="0" w:color="000000"/>
              <w:right w:val="single" w:sz="4" w:space="0" w:color="000000"/>
            </w:tcBorders>
          </w:tcPr>
          <w:p w:rsidR="000A7E4A" w:rsidRDefault="000A7E4A">
            <w:pPr>
              <w:rPr>
                <w:sz w:val="22"/>
                <w:szCs w:val="22"/>
              </w:rPr>
            </w:pPr>
          </w:p>
        </w:tc>
      </w:tr>
      <w:tr w:rsidR="000A7E4A" w:rsidTr="00BE78E5">
        <w:trPr>
          <w:trHeight w:val="300"/>
        </w:trPr>
        <w:tc>
          <w:tcPr>
            <w:tcW w:w="2175" w:type="dxa"/>
            <w:vMerge/>
            <w:tcBorders>
              <w:top w:val="nil"/>
              <w:left w:val="single" w:sz="4" w:space="0" w:color="000000"/>
              <w:bottom w:val="single" w:sz="4" w:space="0" w:color="000000"/>
              <w:right w:val="single" w:sz="4" w:space="0" w:color="000000"/>
            </w:tcBorders>
            <w:shd w:val="clear" w:color="auto" w:fill="auto"/>
            <w:vAlign w:val="center"/>
          </w:tcPr>
          <w:p w:rsidR="000A7E4A" w:rsidRDefault="000A7E4A">
            <w:pPr>
              <w:rPr>
                <w:sz w:val="22"/>
                <w:szCs w:val="22"/>
              </w:rPr>
            </w:pPr>
          </w:p>
        </w:tc>
        <w:tc>
          <w:tcPr>
            <w:tcW w:w="9900" w:type="dxa"/>
            <w:tcBorders>
              <w:top w:val="nil"/>
              <w:left w:val="nil"/>
              <w:bottom w:val="single" w:sz="4" w:space="0" w:color="000000"/>
              <w:right w:val="single" w:sz="4" w:space="0" w:color="000000"/>
            </w:tcBorders>
          </w:tcPr>
          <w:p w:rsidR="000A7E4A" w:rsidRDefault="000A7E4A">
            <w:pPr>
              <w:rPr>
                <w:sz w:val="22"/>
                <w:szCs w:val="22"/>
              </w:rPr>
            </w:pPr>
          </w:p>
        </w:tc>
        <w:tc>
          <w:tcPr>
            <w:tcW w:w="630" w:type="dxa"/>
            <w:tcBorders>
              <w:top w:val="nil"/>
              <w:left w:val="nil"/>
              <w:bottom w:val="single" w:sz="4" w:space="0" w:color="000000"/>
              <w:right w:val="single" w:sz="4" w:space="0" w:color="000000"/>
            </w:tcBorders>
          </w:tcPr>
          <w:p w:rsidR="000A7E4A" w:rsidRDefault="000A7E4A">
            <w:pPr>
              <w:rPr>
                <w:sz w:val="22"/>
                <w:szCs w:val="22"/>
              </w:rPr>
            </w:pPr>
          </w:p>
        </w:tc>
        <w:tc>
          <w:tcPr>
            <w:tcW w:w="645" w:type="dxa"/>
            <w:tcBorders>
              <w:top w:val="nil"/>
              <w:left w:val="nil"/>
              <w:bottom w:val="single" w:sz="4" w:space="0" w:color="000000"/>
              <w:right w:val="single" w:sz="4" w:space="0" w:color="000000"/>
            </w:tcBorders>
          </w:tcPr>
          <w:p w:rsidR="000A7E4A" w:rsidRDefault="000A7E4A">
            <w:pPr>
              <w:rPr>
                <w:sz w:val="22"/>
                <w:szCs w:val="22"/>
              </w:rPr>
            </w:pPr>
          </w:p>
        </w:tc>
        <w:tc>
          <w:tcPr>
            <w:tcW w:w="555" w:type="dxa"/>
            <w:tcBorders>
              <w:top w:val="nil"/>
              <w:left w:val="nil"/>
              <w:bottom w:val="single" w:sz="4" w:space="0" w:color="000000"/>
              <w:right w:val="single" w:sz="4" w:space="0" w:color="000000"/>
            </w:tcBorders>
            <w:shd w:val="clear" w:color="auto" w:fill="auto"/>
          </w:tcPr>
          <w:p w:rsidR="000A7E4A" w:rsidRDefault="000A7E4A">
            <w:pPr>
              <w:rPr>
                <w:sz w:val="22"/>
                <w:szCs w:val="22"/>
              </w:rPr>
            </w:pPr>
          </w:p>
        </w:tc>
        <w:tc>
          <w:tcPr>
            <w:tcW w:w="540" w:type="dxa"/>
            <w:tcBorders>
              <w:top w:val="nil"/>
              <w:left w:val="nil"/>
              <w:bottom w:val="single" w:sz="4" w:space="0" w:color="000000"/>
              <w:right w:val="single" w:sz="4" w:space="0" w:color="000000"/>
            </w:tcBorders>
          </w:tcPr>
          <w:p w:rsidR="000A7E4A" w:rsidRDefault="000A7E4A">
            <w:pPr>
              <w:rPr>
                <w:sz w:val="22"/>
                <w:szCs w:val="22"/>
              </w:rPr>
            </w:pPr>
          </w:p>
        </w:tc>
        <w:tc>
          <w:tcPr>
            <w:tcW w:w="630" w:type="dxa"/>
            <w:tcBorders>
              <w:top w:val="nil"/>
              <w:left w:val="nil"/>
              <w:bottom w:val="single" w:sz="4" w:space="0" w:color="000000"/>
              <w:right w:val="single" w:sz="4" w:space="0" w:color="000000"/>
            </w:tcBorders>
          </w:tcPr>
          <w:p w:rsidR="000A7E4A" w:rsidRDefault="000A7E4A">
            <w:pPr>
              <w:rPr>
                <w:sz w:val="22"/>
                <w:szCs w:val="22"/>
              </w:rPr>
            </w:pPr>
          </w:p>
        </w:tc>
      </w:tr>
      <w:tr w:rsidR="000A7E4A">
        <w:trPr>
          <w:trHeight w:val="300"/>
        </w:trPr>
        <w:tc>
          <w:tcPr>
            <w:tcW w:w="2175" w:type="dxa"/>
            <w:vMerge/>
            <w:tcBorders>
              <w:top w:val="nil"/>
              <w:left w:val="single" w:sz="4" w:space="0" w:color="000000"/>
              <w:bottom w:val="single" w:sz="4" w:space="0" w:color="000000"/>
              <w:right w:val="single" w:sz="4" w:space="0" w:color="000000"/>
            </w:tcBorders>
            <w:shd w:val="clear" w:color="auto" w:fill="auto"/>
            <w:vAlign w:val="center"/>
          </w:tcPr>
          <w:p w:rsidR="000A7E4A" w:rsidRDefault="000A7E4A">
            <w:pPr>
              <w:rPr>
                <w:sz w:val="22"/>
                <w:szCs w:val="22"/>
              </w:rPr>
            </w:pPr>
          </w:p>
        </w:tc>
        <w:tc>
          <w:tcPr>
            <w:tcW w:w="9900" w:type="dxa"/>
            <w:tcBorders>
              <w:top w:val="nil"/>
              <w:left w:val="nil"/>
              <w:bottom w:val="single" w:sz="4" w:space="0" w:color="000000"/>
              <w:right w:val="single" w:sz="4" w:space="0" w:color="000000"/>
            </w:tcBorders>
          </w:tcPr>
          <w:p w:rsidR="000A7E4A" w:rsidRDefault="00BE78E5">
            <w:pPr>
              <w:rPr>
                <w:sz w:val="22"/>
                <w:szCs w:val="22"/>
              </w:rPr>
            </w:pPr>
            <w:r>
              <w:rPr>
                <w:sz w:val="22"/>
                <w:szCs w:val="22"/>
              </w:rPr>
              <w:t>3.2</w:t>
            </w:r>
            <w:r w:rsidR="0029199E">
              <w:rPr>
                <w:sz w:val="22"/>
                <w:szCs w:val="22"/>
              </w:rPr>
              <w:t>. Exchange of experiences and knowledge between youth and leaders of CIEA and CECU on the organizational roles and responsibilities.</w:t>
            </w:r>
          </w:p>
        </w:tc>
        <w:tc>
          <w:tcPr>
            <w:tcW w:w="630" w:type="dxa"/>
            <w:tcBorders>
              <w:top w:val="nil"/>
              <w:left w:val="nil"/>
              <w:bottom w:val="single" w:sz="4" w:space="0" w:color="000000"/>
              <w:right w:val="single" w:sz="4" w:space="0" w:color="000000"/>
            </w:tcBorders>
          </w:tcPr>
          <w:p w:rsidR="000A7E4A" w:rsidRDefault="000A7E4A">
            <w:pPr>
              <w:rPr>
                <w:sz w:val="22"/>
                <w:szCs w:val="22"/>
              </w:rPr>
            </w:pPr>
          </w:p>
        </w:tc>
        <w:tc>
          <w:tcPr>
            <w:tcW w:w="645" w:type="dxa"/>
            <w:tcBorders>
              <w:top w:val="nil"/>
              <w:left w:val="nil"/>
              <w:bottom w:val="single" w:sz="4" w:space="0" w:color="000000"/>
              <w:right w:val="single" w:sz="4" w:space="0" w:color="000000"/>
            </w:tcBorders>
          </w:tcPr>
          <w:p w:rsidR="000A7E4A" w:rsidRDefault="000A7E4A">
            <w:pPr>
              <w:rPr>
                <w:sz w:val="22"/>
                <w:szCs w:val="22"/>
              </w:rPr>
            </w:pPr>
          </w:p>
        </w:tc>
        <w:tc>
          <w:tcPr>
            <w:tcW w:w="555" w:type="dxa"/>
            <w:tcBorders>
              <w:top w:val="nil"/>
              <w:left w:val="nil"/>
              <w:bottom w:val="single" w:sz="4" w:space="0" w:color="000000"/>
              <w:right w:val="single" w:sz="4" w:space="0" w:color="000000"/>
            </w:tcBorders>
            <w:shd w:val="clear" w:color="auto" w:fill="666666"/>
          </w:tcPr>
          <w:p w:rsidR="000A7E4A" w:rsidRDefault="000A7E4A">
            <w:pPr>
              <w:rPr>
                <w:sz w:val="22"/>
                <w:szCs w:val="22"/>
              </w:rPr>
            </w:pPr>
          </w:p>
        </w:tc>
        <w:tc>
          <w:tcPr>
            <w:tcW w:w="540" w:type="dxa"/>
            <w:tcBorders>
              <w:top w:val="nil"/>
              <w:left w:val="nil"/>
              <w:bottom w:val="single" w:sz="4" w:space="0" w:color="000000"/>
              <w:right w:val="single" w:sz="4" w:space="0" w:color="000000"/>
            </w:tcBorders>
          </w:tcPr>
          <w:p w:rsidR="000A7E4A" w:rsidRDefault="000A7E4A">
            <w:pPr>
              <w:rPr>
                <w:sz w:val="22"/>
                <w:szCs w:val="22"/>
              </w:rPr>
            </w:pPr>
          </w:p>
        </w:tc>
        <w:tc>
          <w:tcPr>
            <w:tcW w:w="630" w:type="dxa"/>
            <w:tcBorders>
              <w:top w:val="nil"/>
              <w:left w:val="nil"/>
              <w:bottom w:val="single" w:sz="4" w:space="0" w:color="000000"/>
              <w:right w:val="single" w:sz="4" w:space="0" w:color="000000"/>
            </w:tcBorders>
          </w:tcPr>
          <w:p w:rsidR="000A7E4A" w:rsidRDefault="000A7E4A">
            <w:pPr>
              <w:rPr>
                <w:sz w:val="22"/>
                <w:szCs w:val="22"/>
              </w:rPr>
            </w:pPr>
          </w:p>
        </w:tc>
      </w:tr>
      <w:tr w:rsidR="000A7E4A">
        <w:trPr>
          <w:trHeight w:val="300"/>
        </w:trPr>
        <w:tc>
          <w:tcPr>
            <w:tcW w:w="2175" w:type="dxa"/>
            <w:vMerge w:val="restart"/>
            <w:tcBorders>
              <w:top w:val="nil"/>
              <w:left w:val="single" w:sz="4" w:space="0" w:color="000000"/>
              <w:bottom w:val="single" w:sz="4" w:space="0" w:color="000000"/>
              <w:right w:val="single" w:sz="4" w:space="0" w:color="000000"/>
            </w:tcBorders>
            <w:shd w:val="clear" w:color="auto" w:fill="auto"/>
            <w:vAlign w:val="center"/>
          </w:tcPr>
          <w:p w:rsidR="000A7E4A" w:rsidRDefault="0029199E">
            <w:r>
              <w:rPr>
                <w:sz w:val="22"/>
                <w:szCs w:val="22"/>
              </w:rPr>
              <w:t>4. AIFG, OFCs and other producer organisations are well organised and have the technical and political capacities to represent their interests towards public, private, and civil actors</w:t>
            </w:r>
          </w:p>
        </w:tc>
        <w:tc>
          <w:tcPr>
            <w:tcW w:w="9900" w:type="dxa"/>
            <w:tcBorders>
              <w:top w:val="nil"/>
              <w:left w:val="nil"/>
              <w:bottom w:val="single" w:sz="4" w:space="0" w:color="000000"/>
              <w:right w:val="single" w:sz="4" w:space="0" w:color="000000"/>
            </w:tcBorders>
          </w:tcPr>
          <w:p w:rsidR="000A7E4A" w:rsidRDefault="0029199E">
            <w:pPr>
              <w:rPr>
                <w:sz w:val="22"/>
                <w:szCs w:val="22"/>
              </w:rPr>
            </w:pPr>
            <w:r>
              <w:rPr>
                <w:sz w:val="22"/>
                <w:szCs w:val="22"/>
              </w:rPr>
              <w:t>4.1. Implementation of the community forest management training program through the auxiliary agents of the OFCs.</w:t>
            </w:r>
          </w:p>
          <w:p w:rsidR="000A7E4A" w:rsidRDefault="000A7E4A">
            <w:pPr>
              <w:rPr>
                <w:sz w:val="22"/>
                <w:szCs w:val="22"/>
              </w:rPr>
            </w:pPr>
          </w:p>
          <w:p w:rsidR="000A7E4A" w:rsidRDefault="000A7E4A"/>
        </w:tc>
        <w:tc>
          <w:tcPr>
            <w:tcW w:w="630" w:type="dxa"/>
            <w:tcBorders>
              <w:top w:val="nil"/>
              <w:left w:val="nil"/>
              <w:bottom w:val="single" w:sz="4" w:space="0" w:color="000000"/>
              <w:right w:val="single" w:sz="4" w:space="0" w:color="000000"/>
            </w:tcBorders>
          </w:tcPr>
          <w:p w:rsidR="000A7E4A" w:rsidRDefault="000A7E4A">
            <w:pPr>
              <w:rPr>
                <w:sz w:val="22"/>
                <w:szCs w:val="22"/>
              </w:rPr>
            </w:pPr>
          </w:p>
        </w:tc>
        <w:tc>
          <w:tcPr>
            <w:tcW w:w="645" w:type="dxa"/>
            <w:tcBorders>
              <w:top w:val="nil"/>
              <w:left w:val="nil"/>
              <w:bottom w:val="single" w:sz="4" w:space="0" w:color="000000"/>
              <w:right w:val="single" w:sz="4" w:space="0" w:color="000000"/>
            </w:tcBorders>
            <w:shd w:val="clear" w:color="auto" w:fill="666666"/>
          </w:tcPr>
          <w:p w:rsidR="000A7E4A" w:rsidRDefault="000A7E4A">
            <w:pPr>
              <w:rPr>
                <w:sz w:val="22"/>
                <w:szCs w:val="22"/>
              </w:rPr>
            </w:pPr>
          </w:p>
        </w:tc>
        <w:tc>
          <w:tcPr>
            <w:tcW w:w="555" w:type="dxa"/>
            <w:tcBorders>
              <w:top w:val="nil"/>
              <w:left w:val="nil"/>
              <w:bottom w:val="single" w:sz="4" w:space="0" w:color="000000"/>
              <w:right w:val="single" w:sz="4" w:space="0" w:color="000000"/>
            </w:tcBorders>
          </w:tcPr>
          <w:p w:rsidR="000A7E4A" w:rsidRDefault="000A7E4A">
            <w:pPr>
              <w:rPr>
                <w:sz w:val="22"/>
                <w:szCs w:val="22"/>
              </w:rPr>
            </w:pPr>
          </w:p>
        </w:tc>
        <w:tc>
          <w:tcPr>
            <w:tcW w:w="540" w:type="dxa"/>
            <w:tcBorders>
              <w:top w:val="nil"/>
              <w:left w:val="nil"/>
              <w:bottom w:val="single" w:sz="4" w:space="0" w:color="000000"/>
              <w:right w:val="single" w:sz="4" w:space="0" w:color="000000"/>
            </w:tcBorders>
          </w:tcPr>
          <w:p w:rsidR="000A7E4A" w:rsidRDefault="000A7E4A">
            <w:pPr>
              <w:rPr>
                <w:sz w:val="22"/>
                <w:szCs w:val="22"/>
              </w:rPr>
            </w:pPr>
          </w:p>
        </w:tc>
        <w:tc>
          <w:tcPr>
            <w:tcW w:w="630" w:type="dxa"/>
            <w:tcBorders>
              <w:top w:val="nil"/>
              <w:left w:val="nil"/>
              <w:bottom w:val="single" w:sz="4" w:space="0" w:color="000000"/>
              <w:right w:val="single" w:sz="4" w:space="0" w:color="000000"/>
            </w:tcBorders>
          </w:tcPr>
          <w:p w:rsidR="000A7E4A" w:rsidRDefault="000A7E4A">
            <w:pPr>
              <w:rPr>
                <w:sz w:val="22"/>
                <w:szCs w:val="22"/>
              </w:rPr>
            </w:pPr>
          </w:p>
        </w:tc>
      </w:tr>
      <w:tr w:rsidR="000A7E4A">
        <w:trPr>
          <w:trHeight w:val="300"/>
        </w:trPr>
        <w:tc>
          <w:tcPr>
            <w:tcW w:w="2175" w:type="dxa"/>
            <w:vMerge/>
            <w:tcBorders>
              <w:top w:val="nil"/>
              <w:left w:val="single" w:sz="4" w:space="0" w:color="000000"/>
              <w:bottom w:val="single" w:sz="4" w:space="0" w:color="000000"/>
              <w:right w:val="single" w:sz="4" w:space="0" w:color="000000"/>
            </w:tcBorders>
            <w:shd w:val="clear" w:color="auto" w:fill="auto"/>
            <w:vAlign w:val="center"/>
          </w:tcPr>
          <w:p w:rsidR="000A7E4A" w:rsidRDefault="000A7E4A">
            <w:pPr>
              <w:rPr>
                <w:sz w:val="22"/>
                <w:szCs w:val="22"/>
              </w:rPr>
            </w:pPr>
          </w:p>
        </w:tc>
        <w:tc>
          <w:tcPr>
            <w:tcW w:w="9900" w:type="dxa"/>
            <w:tcBorders>
              <w:top w:val="nil"/>
              <w:left w:val="nil"/>
              <w:bottom w:val="single" w:sz="4" w:space="0" w:color="000000"/>
              <w:right w:val="single" w:sz="4" w:space="0" w:color="000000"/>
            </w:tcBorders>
          </w:tcPr>
          <w:p w:rsidR="000A7E4A" w:rsidRDefault="0029199E">
            <w:pPr>
              <w:rPr>
                <w:sz w:val="22"/>
                <w:szCs w:val="22"/>
              </w:rPr>
            </w:pPr>
            <w:r>
              <w:rPr>
                <w:sz w:val="22"/>
                <w:szCs w:val="22"/>
              </w:rPr>
              <w:t>4.2. Reformulation of the GFMP based on the National Forest Certification recommendations, and updated strategic planning and internal regulations.</w:t>
            </w:r>
          </w:p>
        </w:tc>
        <w:tc>
          <w:tcPr>
            <w:tcW w:w="630" w:type="dxa"/>
            <w:tcBorders>
              <w:top w:val="nil"/>
              <w:left w:val="nil"/>
              <w:bottom w:val="single" w:sz="4" w:space="0" w:color="000000"/>
              <w:right w:val="single" w:sz="4" w:space="0" w:color="000000"/>
            </w:tcBorders>
          </w:tcPr>
          <w:p w:rsidR="000A7E4A" w:rsidRDefault="000A7E4A">
            <w:pPr>
              <w:rPr>
                <w:sz w:val="22"/>
                <w:szCs w:val="22"/>
              </w:rPr>
            </w:pPr>
          </w:p>
        </w:tc>
        <w:tc>
          <w:tcPr>
            <w:tcW w:w="645" w:type="dxa"/>
            <w:tcBorders>
              <w:top w:val="nil"/>
              <w:left w:val="nil"/>
              <w:bottom w:val="single" w:sz="4" w:space="0" w:color="000000"/>
              <w:right w:val="single" w:sz="4" w:space="0" w:color="000000"/>
            </w:tcBorders>
            <w:shd w:val="clear" w:color="auto" w:fill="666666"/>
          </w:tcPr>
          <w:p w:rsidR="000A7E4A" w:rsidRDefault="000A7E4A">
            <w:pPr>
              <w:rPr>
                <w:sz w:val="22"/>
                <w:szCs w:val="22"/>
              </w:rPr>
            </w:pPr>
          </w:p>
        </w:tc>
        <w:tc>
          <w:tcPr>
            <w:tcW w:w="555" w:type="dxa"/>
            <w:tcBorders>
              <w:top w:val="nil"/>
              <w:left w:val="nil"/>
              <w:bottom w:val="single" w:sz="4" w:space="0" w:color="000000"/>
              <w:right w:val="single" w:sz="4" w:space="0" w:color="000000"/>
            </w:tcBorders>
            <w:shd w:val="clear" w:color="auto" w:fill="666666"/>
          </w:tcPr>
          <w:p w:rsidR="000A7E4A" w:rsidRDefault="000A7E4A">
            <w:pPr>
              <w:rPr>
                <w:sz w:val="22"/>
                <w:szCs w:val="22"/>
              </w:rPr>
            </w:pPr>
          </w:p>
        </w:tc>
        <w:tc>
          <w:tcPr>
            <w:tcW w:w="540" w:type="dxa"/>
            <w:tcBorders>
              <w:top w:val="nil"/>
              <w:left w:val="nil"/>
              <w:bottom w:val="single" w:sz="4" w:space="0" w:color="000000"/>
              <w:right w:val="single" w:sz="4" w:space="0" w:color="000000"/>
            </w:tcBorders>
          </w:tcPr>
          <w:p w:rsidR="000A7E4A" w:rsidRDefault="000A7E4A">
            <w:pPr>
              <w:rPr>
                <w:sz w:val="22"/>
                <w:szCs w:val="22"/>
              </w:rPr>
            </w:pPr>
          </w:p>
        </w:tc>
        <w:tc>
          <w:tcPr>
            <w:tcW w:w="630" w:type="dxa"/>
            <w:tcBorders>
              <w:top w:val="nil"/>
              <w:left w:val="nil"/>
              <w:bottom w:val="single" w:sz="4" w:space="0" w:color="000000"/>
              <w:right w:val="single" w:sz="4" w:space="0" w:color="000000"/>
            </w:tcBorders>
          </w:tcPr>
          <w:p w:rsidR="000A7E4A" w:rsidRDefault="000A7E4A">
            <w:pPr>
              <w:rPr>
                <w:sz w:val="22"/>
                <w:szCs w:val="22"/>
              </w:rPr>
            </w:pPr>
          </w:p>
        </w:tc>
      </w:tr>
      <w:tr w:rsidR="000A7E4A">
        <w:trPr>
          <w:trHeight w:val="300"/>
        </w:trPr>
        <w:tc>
          <w:tcPr>
            <w:tcW w:w="2175" w:type="dxa"/>
            <w:vMerge/>
            <w:tcBorders>
              <w:top w:val="nil"/>
              <w:left w:val="single" w:sz="4" w:space="0" w:color="000000"/>
              <w:bottom w:val="single" w:sz="4" w:space="0" w:color="000000"/>
              <w:right w:val="single" w:sz="4" w:space="0" w:color="000000"/>
            </w:tcBorders>
            <w:shd w:val="clear" w:color="auto" w:fill="auto"/>
            <w:vAlign w:val="center"/>
          </w:tcPr>
          <w:p w:rsidR="000A7E4A" w:rsidRDefault="000A7E4A">
            <w:pPr>
              <w:rPr>
                <w:sz w:val="22"/>
                <w:szCs w:val="22"/>
              </w:rPr>
            </w:pPr>
          </w:p>
        </w:tc>
        <w:tc>
          <w:tcPr>
            <w:tcW w:w="9900" w:type="dxa"/>
            <w:tcBorders>
              <w:top w:val="nil"/>
              <w:left w:val="nil"/>
              <w:bottom w:val="single" w:sz="4" w:space="0" w:color="000000"/>
              <w:right w:val="single" w:sz="4" w:space="0" w:color="000000"/>
            </w:tcBorders>
          </w:tcPr>
          <w:p w:rsidR="000A7E4A" w:rsidRDefault="0029199E">
            <w:pPr>
              <w:rPr>
                <w:sz w:val="22"/>
                <w:szCs w:val="22"/>
              </w:rPr>
            </w:pPr>
            <w:r>
              <w:rPr>
                <w:sz w:val="22"/>
                <w:szCs w:val="22"/>
              </w:rPr>
              <w:t>4.3. Development an internal management and monitoring system for OFC.</w:t>
            </w:r>
          </w:p>
        </w:tc>
        <w:tc>
          <w:tcPr>
            <w:tcW w:w="630" w:type="dxa"/>
            <w:tcBorders>
              <w:top w:val="nil"/>
              <w:left w:val="nil"/>
              <w:bottom w:val="single" w:sz="4" w:space="0" w:color="000000"/>
              <w:right w:val="single" w:sz="4" w:space="0" w:color="000000"/>
            </w:tcBorders>
          </w:tcPr>
          <w:p w:rsidR="000A7E4A" w:rsidRDefault="000A7E4A">
            <w:pPr>
              <w:rPr>
                <w:sz w:val="22"/>
                <w:szCs w:val="22"/>
              </w:rPr>
            </w:pPr>
          </w:p>
        </w:tc>
        <w:tc>
          <w:tcPr>
            <w:tcW w:w="645" w:type="dxa"/>
            <w:tcBorders>
              <w:top w:val="nil"/>
              <w:left w:val="nil"/>
              <w:bottom w:val="single" w:sz="4" w:space="0" w:color="000000"/>
              <w:right w:val="single" w:sz="4" w:space="0" w:color="000000"/>
            </w:tcBorders>
          </w:tcPr>
          <w:p w:rsidR="000A7E4A" w:rsidRDefault="000A7E4A">
            <w:pPr>
              <w:rPr>
                <w:sz w:val="22"/>
                <w:szCs w:val="22"/>
              </w:rPr>
            </w:pPr>
          </w:p>
        </w:tc>
        <w:tc>
          <w:tcPr>
            <w:tcW w:w="555" w:type="dxa"/>
            <w:tcBorders>
              <w:top w:val="nil"/>
              <w:left w:val="nil"/>
              <w:bottom w:val="single" w:sz="4" w:space="0" w:color="000000"/>
              <w:right w:val="single" w:sz="4" w:space="0" w:color="000000"/>
            </w:tcBorders>
          </w:tcPr>
          <w:p w:rsidR="000A7E4A" w:rsidRDefault="000A7E4A">
            <w:pPr>
              <w:rPr>
                <w:sz w:val="22"/>
                <w:szCs w:val="22"/>
              </w:rPr>
            </w:pPr>
          </w:p>
        </w:tc>
        <w:tc>
          <w:tcPr>
            <w:tcW w:w="540" w:type="dxa"/>
            <w:tcBorders>
              <w:top w:val="nil"/>
              <w:left w:val="nil"/>
              <w:bottom w:val="single" w:sz="4" w:space="0" w:color="000000"/>
              <w:right w:val="single" w:sz="4" w:space="0" w:color="000000"/>
            </w:tcBorders>
            <w:shd w:val="clear" w:color="auto" w:fill="666666"/>
          </w:tcPr>
          <w:p w:rsidR="000A7E4A" w:rsidRDefault="000A7E4A">
            <w:pPr>
              <w:rPr>
                <w:sz w:val="22"/>
                <w:szCs w:val="22"/>
              </w:rPr>
            </w:pPr>
          </w:p>
        </w:tc>
        <w:tc>
          <w:tcPr>
            <w:tcW w:w="630" w:type="dxa"/>
            <w:tcBorders>
              <w:top w:val="nil"/>
              <w:left w:val="nil"/>
              <w:bottom w:val="single" w:sz="4" w:space="0" w:color="000000"/>
              <w:right w:val="single" w:sz="4" w:space="0" w:color="000000"/>
            </w:tcBorders>
          </w:tcPr>
          <w:p w:rsidR="000A7E4A" w:rsidRDefault="000A7E4A">
            <w:pPr>
              <w:rPr>
                <w:sz w:val="22"/>
                <w:szCs w:val="22"/>
              </w:rPr>
            </w:pPr>
          </w:p>
        </w:tc>
      </w:tr>
      <w:tr w:rsidR="000A7E4A">
        <w:trPr>
          <w:trHeight w:val="300"/>
        </w:trPr>
        <w:tc>
          <w:tcPr>
            <w:tcW w:w="2175" w:type="dxa"/>
            <w:tcBorders>
              <w:top w:val="nil"/>
              <w:left w:val="single" w:sz="4" w:space="0" w:color="000000"/>
              <w:bottom w:val="single" w:sz="4" w:space="0" w:color="000000"/>
              <w:right w:val="single" w:sz="4" w:space="0" w:color="000000"/>
            </w:tcBorders>
            <w:shd w:val="clear" w:color="auto" w:fill="auto"/>
            <w:vAlign w:val="center"/>
          </w:tcPr>
          <w:p w:rsidR="000A7E4A" w:rsidRDefault="0029199E">
            <w:r>
              <w:rPr>
                <w:sz w:val="22"/>
                <w:szCs w:val="22"/>
              </w:rPr>
              <w:t>6. Stakeholders sign agreements about the development and implementation of policies and practices that increase the resilience and sustainability of the landscape</w:t>
            </w:r>
          </w:p>
        </w:tc>
        <w:tc>
          <w:tcPr>
            <w:tcW w:w="9900" w:type="dxa"/>
            <w:tcBorders>
              <w:top w:val="nil"/>
              <w:left w:val="nil"/>
              <w:bottom w:val="single" w:sz="4" w:space="0" w:color="000000"/>
              <w:right w:val="single" w:sz="4" w:space="0" w:color="000000"/>
            </w:tcBorders>
          </w:tcPr>
          <w:p w:rsidR="000A7E4A" w:rsidRDefault="0029199E">
            <w:r>
              <w:rPr>
                <w:sz w:val="22"/>
                <w:szCs w:val="22"/>
              </w:rPr>
              <w:t>6.1. Dissemination of information on the impacts of climate change and the role of forests for the mitigation and adaptation of climate change based on the program´s communication strategy.</w:t>
            </w:r>
          </w:p>
        </w:tc>
        <w:tc>
          <w:tcPr>
            <w:tcW w:w="630" w:type="dxa"/>
            <w:tcBorders>
              <w:top w:val="nil"/>
              <w:left w:val="nil"/>
              <w:bottom w:val="single" w:sz="4" w:space="0" w:color="000000"/>
              <w:right w:val="single" w:sz="4" w:space="0" w:color="000000"/>
            </w:tcBorders>
          </w:tcPr>
          <w:p w:rsidR="000A7E4A" w:rsidRDefault="000A7E4A">
            <w:pPr>
              <w:rPr>
                <w:sz w:val="22"/>
                <w:szCs w:val="22"/>
              </w:rPr>
            </w:pPr>
          </w:p>
        </w:tc>
        <w:tc>
          <w:tcPr>
            <w:tcW w:w="645" w:type="dxa"/>
            <w:tcBorders>
              <w:top w:val="nil"/>
              <w:left w:val="nil"/>
              <w:bottom w:val="single" w:sz="4" w:space="0" w:color="000000"/>
              <w:right w:val="single" w:sz="4" w:space="0" w:color="000000"/>
            </w:tcBorders>
          </w:tcPr>
          <w:p w:rsidR="000A7E4A" w:rsidRDefault="000A7E4A">
            <w:pPr>
              <w:rPr>
                <w:sz w:val="22"/>
                <w:szCs w:val="22"/>
              </w:rPr>
            </w:pPr>
          </w:p>
        </w:tc>
        <w:tc>
          <w:tcPr>
            <w:tcW w:w="555" w:type="dxa"/>
            <w:tcBorders>
              <w:top w:val="nil"/>
              <w:left w:val="nil"/>
              <w:bottom w:val="single" w:sz="4" w:space="0" w:color="000000"/>
              <w:right w:val="single" w:sz="4" w:space="0" w:color="000000"/>
            </w:tcBorders>
          </w:tcPr>
          <w:p w:rsidR="000A7E4A" w:rsidRDefault="000A7E4A">
            <w:pPr>
              <w:rPr>
                <w:sz w:val="22"/>
                <w:szCs w:val="22"/>
              </w:rPr>
            </w:pPr>
          </w:p>
        </w:tc>
        <w:tc>
          <w:tcPr>
            <w:tcW w:w="540" w:type="dxa"/>
            <w:tcBorders>
              <w:top w:val="nil"/>
              <w:left w:val="nil"/>
              <w:bottom w:val="single" w:sz="4" w:space="0" w:color="000000"/>
              <w:right w:val="single" w:sz="4" w:space="0" w:color="000000"/>
            </w:tcBorders>
          </w:tcPr>
          <w:p w:rsidR="000A7E4A" w:rsidRDefault="000A7E4A">
            <w:pPr>
              <w:rPr>
                <w:sz w:val="22"/>
                <w:szCs w:val="22"/>
              </w:rPr>
            </w:pPr>
          </w:p>
        </w:tc>
        <w:tc>
          <w:tcPr>
            <w:tcW w:w="630" w:type="dxa"/>
            <w:tcBorders>
              <w:top w:val="nil"/>
              <w:left w:val="nil"/>
              <w:bottom w:val="single" w:sz="4" w:space="0" w:color="000000"/>
              <w:right w:val="single" w:sz="4" w:space="0" w:color="000000"/>
            </w:tcBorders>
            <w:shd w:val="clear" w:color="auto" w:fill="666666"/>
          </w:tcPr>
          <w:p w:rsidR="000A7E4A" w:rsidRDefault="000A7E4A">
            <w:pPr>
              <w:rPr>
                <w:sz w:val="22"/>
                <w:szCs w:val="22"/>
              </w:rPr>
            </w:pPr>
          </w:p>
        </w:tc>
      </w:tr>
      <w:tr w:rsidR="000A7E4A">
        <w:trPr>
          <w:trHeight w:val="300"/>
        </w:trPr>
        <w:tc>
          <w:tcPr>
            <w:tcW w:w="2175" w:type="dxa"/>
            <w:tcBorders>
              <w:top w:val="nil"/>
              <w:left w:val="single" w:sz="4" w:space="0" w:color="000000"/>
              <w:bottom w:val="single" w:sz="4" w:space="0" w:color="000000"/>
              <w:right w:val="single" w:sz="4" w:space="0" w:color="000000"/>
            </w:tcBorders>
            <w:shd w:val="clear" w:color="auto" w:fill="auto"/>
            <w:vAlign w:val="center"/>
          </w:tcPr>
          <w:p w:rsidR="000A7E4A" w:rsidRDefault="0029199E">
            <w:r>
              <w:t> </w:t>
            </w:r>
            <w:r>
              <w:rPr>
                <w:sz w:val="22"/>
                <w:szCs w:val="22"/>
              </w:rPr>
              <w:t>8. ABT fully enforces compliance of Guarayos territorial Life Plan, internal regulations and national forest and land policies in the Guarayos indigenous territory</w:t>
            </w:r>
          </w:p>
        </w:tc>
        <w:tc>
          <w:tcPr>
            <w:tcW w:w="9900" w:type="dxa"/>
            <w:tcBorders>
              <w:top w:val="nil"/>
              <w:left w:val="nil"/>
              <w:bottom w:val="single" w:sz="4" w:space="0" w:color="000000"/>
              <w:right w:val="single" w:sz="4" w:space="0" w:color="000000"/>
            </w:tcBorders>
          </w:tcPr>
          <w:p w:rsidR="000A7E4A" w:rsidRDefault="0029199E">
            <w:r>
              <w:rPr>
                <w:sz w:val="22"/>
                <w:szCs w:val="22"/>
              </w:rPr>
              <w:t>8.1 OFCs make lobby activities towards ABT to approve a proposal to reformulate PGMF using the PMIB database.</w:t>
            </w:r>
          </w:p>
          <w:p w:rsidR="000A7E4A" w:rsidRDefault="000A7E4A"/>
        </w:tc>
        <w:tc>
          <w:tcPr>
            <w:tcW w:w="630" w:type="dxa"/>
            <w:tcBorders>
              <w:top w:val="nil"/>
              <w:left w:val="nil"/>
              <w:bottom w:val="single" w:sz="4" w:space="0" w:color="000000"/>
              <w:right w:val="single" w:sz="4" w:space="0" w:color="000000"/>
            </w:tcBorders>
          </w:tcPr>
          <w:p w:rsidR="000A7E4A" w:rsidRDefault="000A7E4A">
            <w:pPr>
              <w:rPr>
                <w:sz w:val="22"/>
                <w:szCs w:val="22"/>
              </w:rPr>
            </w:pPr>
          </w:p>
        </w:tc>
        <w:tc>
          <w:tcPr>
            <w:tcW w:w="645" w:type="dxa"/>
            <w:tcBorders>
              <w:top w:val="nil"/>
              <w:left w:val="nil"/>
              <w:bottom w:val="single" w:sz="4" w:space="0" w:color="000000"/>
              <w:right w:val="single" w:sz="4" w:space="0" w:color="000000"/>
            </w:tcBorders>
          </w:tcPr>
          <w:p w:rsidR="000A7E4A" w:rsidRDefault="000A7E4A">
            <w:pPr>
              <w:rPr>
                <w:sz w:val="22"/>
                <w:szCs w:val="22"/>
              </w:rPr>
            </w:pPr>
          </w:p>
        </w:tc>
        <w:tc>
          <w:tcPr>
            <w:tcW w:w="555" w:type="dxa"/>
            <w:tcBorders>
              <w:top w:val="nil"/>
              <w:left w:val="nil"/>
              <w:bottom w:val="single" w:sz="4" w:space="0" w:color="000000"/>
              <w:right w:val="single" w:sz="4" w:space="0" w:color="000000"/>
            </w:tcBorders>
            <w:shd w:val="clear" w:color="auto" w:fill="666666"/>
          </w:tcPr>
          <w:p w:rsidR="000A7E4A" w:rsidRDefault="000A7E4A">
            <w:pPr>
              <w:rPr>
                <w:sz w:val="22"/>
                <w:szCs w:val="22"/>
              </w:rPr>
            </w:pPr>
          </w:p>
        </w:tc>
        <w:tc>
          <w:tcPr>
            <w:tcW w:w="540" w:type="dxa"/>
            <w:tcBorders>
              <w:top w:val="nil"/>
              <w:left w:val="nil"/>
              <w:bottom w:val="single" w:sz="4" w:space="0" w:color="000000"/>
              <w:right w:val="single" w:sz="4" w:space="0" w:color="000000"/>
            </w:tcBorders>
            <w:shd w:val="clear" w:color="auto" w:fill="666666"/>
          </w:tcPr>
          <w:p w:rsidR="000A7E4A" w:rsidRDefault="000A7E4A">
            <w:pPr>
              <w:rPr>
                <w:sz w:val="22"/>
                <w:szCs w:val="22"/>
              </w:rPr>
            </w:pPr>
          </w:p>
        </w:tc>
        <w:tc>
          <w:tcPr>
            <w:tcW w:w="630" w:type="dxa"/>
            <w:tcBorders>
              <w:top w:val="nil"/>
              <w:left w:val="nil"/>
              <w:bottom w:val="single" w:sz="4" w:space="0" w:color="000000"/>
              <w:right w:val="single" w:sz="4" w:space="0" w:color="000000"/>
            </w:tcBorders>
            <w:shd w:val="clear" w:color="auto" w:fill="666666"/>
          </w:tcPr>
          <w:p w:rsidR="000A7E4A" w:rsidRDefault="000A7E4A">
            <w:pPr>
              <w:rPr>
                <w:sz w:val="22"/>
                <w:szCs w:val="22"/>
              </w:rPr>
            </w:pPr>
          </w:p>
        </w:tc>
      </w:tr>
      <w:tr w:rsidR="000A7E4A">
        <w:trPr>
          <w:trHeight w:val="300"/>
        </w:trPr>
        <w:tc>
          <w:tcPr>
            <w:tcW w:w="2175" w:type="dxa"/>
            <w:tcBorders>
              <w:top w:val="nil"/>
              <w:left w:val="single" w:sz="4" w:space="0" w:color="000000"/>
              <w:bottom w:val="single" w:sz="4" w:space="0" w:color="000000"/>
              <w:right w:val="single" w:sz="4" w:space="0" w:color="000000"/>
            </w:tcBorders>
            <w:shd w:val="clear" w:color="auto" w:fill="auto"/>
            <w:vAlign w:val="center"/>
          </w:tcPr>
          <w:p w:rsidR="000A7E4A" w:rsidRDefault="0029199E">
            <w:r>
              <w:t> </w:t>
            </w:r>
            <w:r>
              <w:rPr>
                <w:sz w:val="22"/>
                <w:szCs w:val="22"/>
              </w:rPr>
              <w:t>9. Forest Directorate has approved legislation and policies that favour forestry business partnerships to increase forest benefits and reduce land use change</w:t>
            </w:r>
          </w:p>
        </w:tc>
        <w:tc>
          <w:tcPr>
            <w:tcW w:w="9900" w:type="dxa"/>
            <w:tcBorders>
              <w:top w:val="nil"/>
              <w:left w:val="nil"/>
              <w:bottom w:val="single" w:sz="4" w:space="0" w:color="000000"/>
              <w:right w:val="single" w:sz="4" w:space="0" w:color="000000"/>
            </w:tcBorders>
          </w:tcPr>
          <w:p w:rsidR="000A7E4A" w:rsidRDefault="0029199E">
            <w:r>
              <w:rPr>
                <w:sz w:val="22"/>
                <w:szCs w:val="22"/>
              </w:rPr>
              <w:t>9.1. A working table established to analyze the issues related to the promotion of inclusive businesses.</w:t>
            </w:r>
          </w:p>
        </w:tc>
        <w:tc>
          <w:tcPr>
            <w:tcW w:w="630" w:type="dxa"/>
            <w:tcBorders>
              <w:top w:val="nil"/>
              <w:left w:val="nil"/>
              <w:bottom w:val="single" w:sz="4" w:space="0" w:color="000000"/>
              <w:right w:val="single" w:sz="4" w:space="0" w:color="000000"/>
            </w:tcBorders>
          </w:tcPr>
          <w:p w:rsidR="000A7E4A" w:rsidRDefault="000A7E4A">
            <w:pPr>
              <w:rPr>
                <w:sz w:val="22"/>
                <w:szCs w:val="22"/>
              </w:rPr>
            </w:pPr>
          </w:p>
        </w:tc>
        <w:tc>
          <w:tcPr>
            <w:tcW w:w="645" w:type="dxa"/>
            <w:tcBorders>
              <w:top w:val="nil"/>
              <w:left w:val="nil"/>
              <w:bottom w:val="single" w:sz="4" w:space="0" w:color="000000"/>
              <w:right w:val="single" w:sz="4" w:space="0" w:color="000000"/>
            </w:tcBorders>
            <w:shd w:val="clear" w:color="auto" w:fill="666666"/>
          </w:tcPr>
          <w:p w:rsidR="000A7E4A" w:rsidRDefault="000A7E4A">
            <w:pPr>
              <w:rPr>
                <w:sz w:val="22"/>
                <w:szCs w:val="22"/>
              </w:rPr>
            </w:pPr>
          </w:p>
        </w:tc>
        <w:tc>
          <w:tcPr>
            <w:tcW w:w="555" w:type="dxa"/>
            <w:tcBorders>
              <w:top w:val="nil"/>
              <w:left w:val="nil"/>
              <w:bottom w:val="single" w:sz="4" w:space="0" w:color="000000"/>
              <w:right w:val="single" w:sz="4" w:space="0" w:color="000000"/>
            </w:tcBorders>
          </w:tcPr>
          <w:p w:rsidR="000A7E4A" w:rsidRDefault="000A7E4A">
            <w:pPr>
              <w:rPr>
                <w:sz w:val="22"/>
                <w:szCs w:val="22"/>
              </w:rPr>
            </w:pPr>
          </w:p>
        </w:tc>
        <w:tc>
          <w:tcPr>
            <w:tcW w:w="540" w:type="dxa"/>
            <w:tcBorders>
              <w:top w:val="nil"/>
              <w:left w:val="nil"/>
              <w:bottom w:val="single" w:sz="4" w:space="0" w:color="000000"/>
              <w:right w:val="single" w:sz="4" w:space="0" w:color="000000"/>
            </w:tcBorders>
          </w:tcPr>
          <w:p w:rsidR="000A7E4A" w:rsidRDefault="000A7E4A">
            <w:pPr>
              <w:rPr>
                <w:sz w:val="22"/>
                <w:szCs w:val="22"/>
              </w:rPr>
            </w:pPr>
          </w:p>
        </w:tc>
        <w:tc>
          <w:tcPr>
            <w:tcW w:w="630" w:type="dxa"/>
            <w:tcBorders>
              <w:top w:val="nil"/>
              <w:left w:val="nil"/>
              <w:bottom w:val="single" w:sz="4" w:space="0" w:color="000000"/>
              <w:right w:val="single" w:sz="4" w:space="0" w:color="000000"/>
            </w:tcBorders>
          </w:tcPr>
          <w:p w:rsidR="000A7E4A" w:rsidRDefault="000A7E4A">
            <w:pPr>
              <w:rPr>
                <w:sz w:val="22"/>
                <w:szCs w:val="22"/>
              </w:rPr>
            </w:pPr>
          </w:p>
        </w:tc>
      </w:tr>
      <w:tr w:rsidR="000A7E4A">
        <w:trPr>
          <w:trHeight w:val="300"/>
        </w:trPr>
        <w:tc>
          <w:tcPr>
            <w:tcW w:w="2175" w:type="dxa"/>
            <w:vMerge w:val="restart"/>
            <w:tcBorders>
              <w:top w:val="nil"/>
              <w:left w:val="single" w:sz="4" w:space="0" w:color="000000"/>
              <w:bottom w:val="single" w:sz="4" w:space="0" w:color="000000"/>
              <w:right w:val="single" w:sz="4" w:space="0" w:color="000000"/>
            </w:tcBorders>
            <w:shd w:val="clear" w:color="auto" w:fill="auto"/>
            <w:vAlign w:val="center"/>
          </w:tcPr>
          <w:p w:rsidR="000A7E4A" w:rsidRDefault="0029199E">
            <w:r>
              <w:rPr>
                <w:sz w:val="22"/>
                <w:szCs w:val="22"/>
              </w:rPr>
              <w:t xml:space="preserve">10. Financial institutions offer innovative financial mechanisms to facilitate </w:t>
            </w:r>
          </w:p>
        </w:tc>
        <w:tc>
          <w:tcPr>
            <w:tcW w:w="9900" w:type="dxa"/>
            <w:tcBorders>
              <w:top w:val="nil"/>
              <w:left w:val="nil"/>
              <w:bottom w:val="single" w:sz="4" w:space="0" w:color="000000"/>
              <w:right w:val="single" w:sz="4" w:space="0" w:color="000000"/>
            </w:tcBorders>
          </w:tcPr>
          <w:p w:rsidR="000A7E4A" w:rsidRDefault="0029199E">
            <w:pPr>
              <w:rPr>
                <w:sz w:val="22"/>
                <w:szCs w:val="22"/>
              </w:rPr>
            </w:pPr>
            <w:r>
              <w:rPr>
                <w:sz w:val="22"/>
                <w:szCs w:val="22"/>
              </w:rPr>
              <w:t>10.1. Capacity building courses in administration and financial planning for the OFCs.</w:t>
            </w:r>
          </w:p>
          <w:p w:rsidR="000A7E4A" w:rsidRDefault="000A7E4A"/>
        </w:tc>
        <w:tc>
          <w:tcPr>
            <w:tcW w:w="630" w:type="dxa"/>
            <w:tcBorders>
              <w:top w:val="nil"/>
              <w:left w:val="nil"/>
              <w:bottom w:val="single" w:sz="4" w:space="0" w:color="000000"/>
              <w:right w:val="single" w:sz="4" w:space="0" w:color="000000"/>
            </w:tcBorders>
          </w:tcPr>
          <w:p w:rsidR="000A7E4A" w:rsidRDefault="000A7E4A">
            <w:pPr>
              <w:rPr>
                <w:sz w:val="22"/>
                <w:szCs w:val="22"/>
              </w:rPr>
            </w:pPr>
          </w:p>
        </w:tc>
        <w:tc>
          <w:tcPr>
            <w:tcW w:w="645" w:type="dxa"/>
            <w:tcBorders>
              <w:top w:val="nil"/>
              <w:left w:val="nil"/>
              <w:bottom w:val="single" w:sz="4" w:space="0" w:color="000000"/>
              <w:right w:val="single" w:sz="4" w:space="0" w:color="000000"/>
            </w:tcBorders>
          </w:tcPr>
          <w:p w:rsidR="000A7E4A" w:rsidRDefault="000A7E4A">
            <w:pPr>
              <w:rPr>
                <w:sz w:val="22"/>
                <w:szCs w:val="22"/>
              </w:rPr>
            </w:pPr>
          </w:p>
        </w:tc>
        <w:tc>
          <w:tcPr>
            <w:tcW w:w="555" w:type="dxa"/>
            <w:tcBorders>
              <w:top w:val="nil"/>
              <w:left w:val="nil"/>
              <w:bottom w:val="single" w:sz="4" w:space="0" w:color="000000"/>
              <w:right w:val="single" w:sz="4" w:space="0" w:color="000000"/>
            </w:tcBorders>
          </w:tcPr>
          <w:p w:rsidR="000A7E4A" w:rsidRDefault="000A7E4A">
            <w:pPr>
              <w:rPr>
                <w:sz w:val="22"/>
                <w:szCs w:val="22"/>
              </w:rPr>
            </w:pPr>
          </w:p>
        </w:tc>
        <w:tc>
          <w:tcPr>
            <w:tcW w:w="540" w:type="dxa"/>
            <w:tcBorders>
              <w:top w:val="nil"/>
              <w:left w:val="nil"/>
              <w:bottom w:val="single" w:sz="4" w:space="0" w:color="000000"/>
              <w:right w:val="single" w:sz="4" w:space="0" w:color="000000"/>
            </w:tcBorders>
            <w:shd w:val="clear" w:color="auto" w:fill="666666"/>
          </w:tcPr>
          <w:p w:rsidR="000A7E4A" w:rsidRDefault="000A7E4A">
            <w:pPr>
              <w:rPr>
                <w:sz w:val="22"/>
                <w:szCs w:val="22"/>
              </w:rPr>
            </w:pPr>
          </w:p>
        </w:tc>
        <w:tc>
          <w:tcPr>
            <w:tcW w:w="630" w:type="dxa"/>
            <w:tcBorders>
              <w:top w:val="nil"/>
              <w:left w:val="nil"/>
              <w:bottom w:val="single" w:sz="4" w:space="0" w:color="000000"/>
              <w:right w:val="single" w:sz="4" w:space="0" w:color="000000"/>
            </w:tcBorders>
            <w:shd w:val="clear" w:color="auto" w:fill="666666"/>
          </w:tcPr>
          <w:p w:rsidR="000A7E4A" w:rsidRDefault="000A7E4A">
            <w:pPr>
              <w:rPr>
                <w:sz w:val="22"/>
                <w:szCs w:val="22"/>
              </w:rPr>
            </w:pPr>
          </w:p>
        </w:tc>
      </w:tr>
      <w:tr w:rsidR="000A7E4A">
        <w:trPr>
          <w:trHeight w:val="300"/>
        </w:trPr>
        <w:tc>
          <w:tcPr>
            <w:tcW w:w="2175" w:type="dxa"/>
            <w:vMerge/>
            <w:tcBorders>
              <w:top w:val="nil"/>
              <w:left w:val="single" w:sz="4" w:space="0" w:color="000000"/>
              <w:bottom w:val="single" w:sz="4" w:space="0" w:color="000000"/>
              <w:right w:val="single" w:sz="4" w:space="0" w:color="000000"/>
            </w:tcBorders>
            <w:shd w:val="clear" w:color="auto" w:fill="auto"/>
            <w:vAlign w:val="center"/>
          </w:tcPr>
          <w:p w:rsidR="000A7E4A" w:rsidRDefault="000A7E4A">
            <w:pPr>
              <w:rPr>
                <w:sz w:val="22"/>
                <w:szCs w:val="22"/>
              </w:rPr>
            </w:pPr>
          </w:p>
        </w:tc>
        <w:tc>
          <w:tcPr>
            <w:tcW w:w="9900" w:type="dxa"/>
            <w:tcBorders>
              <w:top w:val="nil"/>
              <w:left w:val="nil"/>
              <w:bottom w:val="single" w:sz="4" w:space="0" w:color="000000"/>
              <w:right w:val="single" w:sz="4" w:space="0" w:color="000000"/>
            </w:tcBorders>
          </w:tcPr>
          <w:p w:rsidR="000A7E4A" w:rsidRDefault="0029199E">
            <w:pPr>
              <w:rPr>
                <w:sz w:val="22"/>
                <w:szCs w:val="22"/>
              </w:rPr>
            </w:pPr>
            <w:r>
              <w:rPr>
                <w:sz w:val="22"/>
                <w:szCs w:val="22"/>
              </w:rPr>
              <w:t>10.2. Training of financial managers of the OFCs to improve OFC´s administrative capacities.</w:t>
            </w:r>
          </w:p>
        </w:tc>
        <w:tc>
          <w:tcPr>
            <w:tcW w:w="630" w:type="dxa"/>
            <w:tcBorders>
              <w:top w:val="nil"/>
              <w:left w:val="nil"/>
              <w:bottom w:val="single" w:sz="4" w:space="0" w:color="000000"/>
              <w:right w:val="single" w:sz="4" w:space="0" w:color="000000"/>
            </w:tcBorders>
          </w:tcPr>
          <w:p w:rsidR="000A7E4A" w:rsidRDefault="000A7E4A">
            <w:pPr>
              <w:rPr>
                <w:sz w:val="22"/>
                <w:szCs w:val="22"/>
              </w:rPr>
            </w:pPr>
          </w:p>
        </w:tc>
        <w:tc>
          <w:tcPr>
            <w:tcW w:w="645" w:type="dxa"/>
            <w:tcBorders>
              <w:top w:val="nil"/>
              <w:left w:val="nil"/>
              <w:bottom w:val="single" w:sz="4" w:space="0" w:color="000000"/>
              <w:right w:val="single" w:sz="4" w:space="0" w:color="000000"/>
            </w:tcBorders>
          </w:tcPr>
          <w:p w:rsidR="000A7E4A" w:rsidRDefault="000A7E4A">
            <w:pPr>
              <w:rPr>
                <w:sz w:val="22"/>
                <w:szCs w:val="22"/>
              </w:rPr>
            </w:pPr>
          </w:p>
        </w:tc>
        <w:tc>
          <w:tcPr>
            <w:tcW w:w="555" w:type="dxa"/>
            <w:tcBorders>
              <w:top w:val="nil"/>
              <w:left w:val="nil"/>
              <w:bottom w:val="single" w:sz="4" w:space="0" w:color="000000"/>
              <w:right w:val="single" w:sz="4" w:space="0" w:color="000000"/>
            </w:tcBorders>
            <w:shd w:val="clear" w:color="auto" w:fill="666666"/>
          </w:tcPr>
          <w:p w:rsidR="000A7E4A" w:rsidRDefault="000A7E4A">
            <w:pPr>
              <w:rPr>
                <w:sz w:val="22"/>
                <w:szCs w:val="22"/>
              </w:rPr>
            </w:pPr>
          </w:p>
        </w:tc>
        <w:tc>
          <w:tcPr>
            <w:tcW w:w="540" w:type="dxa"/>
            <w:tcBorders>
              <w:top w:val="nil"/>
              <w:left w:val="nil"/>
              <w:bottom w:val="single" w:sz="4" w:space="0" w:color="000000"/>
              <w:right w:val="single" w:sz="4" w:space="0" w:color="000000"/>
            </w:tcBorders>
          </w:tcPr>
          <w:p w:rsidR="000A7E4A" w:rsidRDefault="000A7E4A">
            <w:pPr>
              <w:rPr>
                <w:sz w:val="22"/>
                <w:szCs w:val="22"/>
              </w:rPr>
            </w:pPr>
          </w:p>
        </w:tc>
        <w:tc>
          <w:tcPr>
            <w:tcW w:w="630" w:type="dxa"/>
            <w:tcBorders>
              <w:top w:val="nil"/>
              <w:left w:val="nil"/>
              <w:bottom w:val="single" w:sz="4" w:space="0" w:color="000000"/>
              <w:right w:val="single" w:sz="4" w:space="0" w:color="000000"/>
            </w:tcBorders>
          </w:tcPr>
          <w:p w:rsidR="000A7E4A" w:rsidRDefault="000A7E4A">
            <w:pPr>
              <w:rPr>
                <w:sz w:val="22"/>
                <w:szCs w:val="22"/>
              </w:rPr>
            </w:pPr>
          </w:p>
        </w:tc>
      </w:tr>
      <w:tr w:rsidR="000A7E4A">
        <w:trPr>
          <w:trHeight w:val="300"/>
        </w:trPr>
        <w:tc>
          <w:tcPr>
            <w:tcW w:w="2175" w:type="dxa"/>
            <w:tcBorders>
              <w:top w:val="nil"/>
              <w:left w:val="single" w:sz="4" w:space="0" w:color="000000"/>
              <w:bottom w:val="single" w:sz="4" w:space="0" w:color="000000"/>
              <w:right w:val="single" w:sz="4" w:space="0" w:color="000000"/>
            </w:tcBorders>
            <w:shd w:val="clear" w:color="auto" w:fill="auto"/>
            <w:vAlign w:val="center"/>
          </w:tcPr>
          <w:p w:rsidR="000A7E4A" w:rsidRDefault="0029199E">
            <w:r>
              <w:t> </w:t>
            </w:r>
            <w:r>
              <w:rPr>
                <w:sz w:val="22"/>
                <w:szCs w:val="22"/>
              </w:rPr>
              <w:t>11. Private forest enterprises co-create innovative business partnerships with OFCs and other producer organizations</w:t>
            </w:r>
          </w:p>
        </w:tc>
        <w:tc>
          <w:tcPr>
            <w:tcW w:w="9900" w:type="dxa"/>
            <w:tcBorders>
              <w:top w:val="nil"/>
              <w:left w:val="nil"/>
              <w:bottom w:val="single" w:sz="4" w:space="0" w:color="000000"/>
              <w:right w:val="single" w:sz="4" w:space="0" w:color="000000"/>
            </w:tcBorders>
          </w:tcPr>
          <w:p w:rsidR="000A7E4A" w:rsidRDefault="0029199E">
            <w:r>
              <w:rPr>
                <w:sz w:val="22"/>
                <w:szCs w:val="22"/>
              </w:rPr>
              <w:t>11.1. Support given to the multi-stakeholder dialogue process</w:t>
            </w:r>
          </w:p>
        </w:tc>
        <w:tc>
          <w:tcPr>
            <w:tcW w:w="630" w:type="dxa"/>
            <w:tcBorders>
              <w:top w:val="nil"/>
              <w:left w:val="nil"/>
              <w:bottom w:val="single" w:sz="4" w:space="0" w:color="000000"/>
              <w:right w:val="single" w:sz="4" w:space="0" w:color="000000"/>
            </w:tcBorders>
            <w:shd w:val="clear" w:color="auto" w:fill="666666"/>
          </w:tcPr>
          <w:p w:rsidR="000A7E4A" w:rsidRDefault="000A7E4A">
            <w:pPr>
              <w:rPr>
                <w:sz w:val="22"/>
                <w:szCs w:val="22"/>
              </w:rPr>
            </w:pPr>
          </w:p>
        </w:tc>
        <w:tc>
          <w:tcPr>
            <w:tcW w:w="645" w:type="dxa"/>
            <w:tcBorders>
              <w:top w:val="nil"/>
              <w:left w:val="nil"/>
              <w:bottom w:val="single" w:sz="4" w:space="0" w:color="000000"/>
              <w:right w:val="single" w:sz="4" w:space="0" w:color="000000"/>
            </w:tcBorders>
            <w:shd w:val="clear" w:color="auto" w:fill="666666"/>
          </w:tcPr>
          <w:p w:rsidR="000A7E4A" w:rsidRDefault="000A7E4A">
            <w:pPr>
              <w:rPr>
                <w:sz w:val="22"/>
                <w:szCs w:val="22"/>
              </w:rPr>
            </w:pPr>
          </w:p>
        </w:tc>
        <w:tc>
          <w:tcPr>
            <w:tcW w:w="555" w:type="dxa"/>
            <w:tcBorders>
              <w:top w:val="nil"/>
              <w:left w:val="nil"/>
              <w:bottom w:val="single" w:sz="4" w:space="0" w:color="000000"/>
              <w:right w:val="single" w:sz="4" w:space="0" w:color="000000"/>
            </w:tcBorders>
            <w:shd w:val="clear" w:color="auto" w:fill="666666"/>
          </w:tcPr>
          <w:p w:rsidR="000A7E4A" w:rsidRDefault="000A7E4A">
            <w:pPr>
              <w:rPr>
                <w:sz w:val="22"/>
                <w:szCs w:val="22"/>
              </w:rPr>
            </w:pPr>
          </w:p>
        </w:tc>
        <w:tc>
          <w:tcPr>
            <w:tcW w:w="540" w:type="dxa"/>
            <w:tcBorders>
              <w:top w:val="nil"/>
              <w:left w:val="nil"/>
              <w:bottom w:val="single" w:sz="4" w:space="0" w:color="000000"/>
              <w:right w:val="single" w:sz="4" w:space="0" w:color="000000"/>
            </w:tcBorders>
            <w:shd w:val="clear" w:color="auto" w:fill="666666"/>
          </w:tcPr>
          <w:p w:rsidR="000A7E4A" w:rsidRDefault="000A7E4A">
            <w:pPr>
              <w:rPr>
                <w:sz w:val="22"/>
                <w:szCs w:val="22"/>
              </w:rPr>
            </w:pPr>
          </w:p>
        </w:tc>
        <w:tc>
          <w:tcPr>
            <w:tcW w:w="630" w:type="dxa"/>
            <w:tcBorders>
              <w:top w:val="nil"/>
              <w:left w:val="nil"/>
              <w:bottom w:val="single" w:sz="4" w:space="0" w:color="000000"/>
              <w:right w:val="single" w:sz="4" w:space="0" w:color="000000"/>
            </w:tcBorders>
            <w:shd w:val="clear" w:color="auto" w:fill="666666"/>
          </w:tcPr>
          <w:p w:rsidR="000A7E4A" w:rsidRDefault="000A7E4A">
            <w:pPr>
              <w:rPr>
                <w:sz w:val="22"/>
                <w:szCs w:val="22"/>
              </w:rPr>
            </w:pPr>
          </w:p>
        </w:tc>
      </w:tr>
    </w:tbl>
    <w:p w:rsidR="000A7E4A" w:rsidRDefault="000A7E4A"/>
    <w:p w:rsidR="000A7E4A" w:rsidRDefault="0029199E">
      <w:pPr>
        <w:pStyle w:val="Ttulo2"/>
        <w:numPr>
          <w:ilvl w:val="1"/>
          <w:numId w:val="6"/>
        </w:numPr>
      </w:pPr>
      <w:r>
        <w:t>Risks</w:t>
      </w:r>
    </w:p>
    <w:p w:rsidR="000A7E4A" w:rsidRDefault="0029199E">
      <w:r>
        <w:t xml:space="preserve"> </w:t>
      </w:r>
    </w:p>
    <w:p w:rsidR="000A7E4A" w:rsidRDefault="0029199E">
      <w:pPr>
        <w:pStyle w:val="Ttulo3"/>
      </w:pPr>
      <w:r>
        <w:t>Table 4: Risks</w:t>
      </w:r>
    </w:p>
    <w:tbl>
      <w:tblPr>
        <w:tblStyle w:val="ad"/>
        <w:tblW w:w="1500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85"/>
        <w:gridCol w:w="1860"/>
        <w:gridCol w:w="1815"/>
        <w:gridCol w:w="8940"/>
      </w:tblGrid>
      <w:tr w:rsidR="000A7E4A">
        <w:trPr>
          <w:trHeight w:val="80"/>
        </w:trPr>
        <w:tc>
          <w:tcPr>
            <w:tcW w:w="2385" w:type="dxa"/>
            <w:shd w:val="clear" w:color="auto" w:fill="D9D9D9"/>
            <w:tcMar>
              <w:left w:w="98" w:type="dxa"/>
            </w:tcMar>
          </w:tcPr>
          <w:p w:rsidR="000A7E4A" w:rsidRDefault="0029199E">
            <w:pPr>
              <w:rPr>
                <w:b/>
              </w:rPr>
            </w:pPr>
            <w:r>
              <w:rPr>
                <w:b/>
              </w:rPr>
              <w:t>Risk</w:t>
            </w:r>
          </w:p>
        </w:tc>
        <w:tc>
          <w:tcPr>
            <w:tcW w:w="1860" w:type="dxa"/>
            <w:shd w:val="clear" w:color="auto" w:fill="D9D9D9"/>
          </w:tcPr>
          <w:p w:rsidR="000A7E4A" w:rsidRDefault="0029199E">
            <w:pPr>
              <w:rPr>
                <w:b/>
              </w:rPr>
            </w:pPr>
            <w:r>
              <w:rPr>
                <w:b/>
              </w:rPr>
              <w:t>Consequences</w:t>
            </w:r>
          </w:p>
        </w:tc>
        <w:tc>
          <w:tcPr>
            <w:tcW w:w="1815" w:type="dxa"/>
            <w:shd w:val="clear" w:color="auto" w:fill="D9D9D9"/>
          </w:tcPr>
          <w:p w:rsidR="000A7E4A" w:rsidRDefault="0029199E">
            <w:pPr>
              <w:rPr>
                <w:b/>
              </w:rPr>
            </w:pPr>
            <w:r>
              <w:rPr>
                <w:b/>
              </w:rPr>
              <w:t>Probability</w:t>
            </w:r>
          </w:p>
        </w:tc>
        <w:tc>
          <w:tcPr>
            <w:tcW w:w="8940" w:type="dxa"/>
            <w:shd w:val="clear" w:color="auto" w:fill="D9D9D9"/>
          </w:tcPr>
          <w:p w:rsidR="000A7E4A" w:rsidRDefault="0029199E">
            <w:pPr>
              <w:rPr>
                <w:b/>
              </w:rPr>
            </w:pPr>
            <w:r>
              <w:rPr>
                <w:b/>
              </w:rPr>
              <w:t>Mitigation strategy</w:t>
            </w:r>
          </w:p>
        </w:tc>
      </w:tr>
      <w:tr w:rsidR="000A7E4A">
        <w:trPr>
          <w:trHeight w:val="80"/>
        </w:trPr>
        <w:tc>
          <w:tcPr>
            <w:tcW w:w="2385" w:type="dxa"/>
            <w:shd w:val="clear" w:color="auto" w:fill="auto"/>
            <w:tcMar>
              <w:left w:w="98" w:type="dxa"/>
            </w:tcMar>
          </w:tcPr>
          <w:p w:rsidR="000A7E4A" w:rsidRDefault="0029199E">
            <w:pPr>
              <w:rPr>
                <w:b/>
              </w:rPr>
            </w:pPr>
            <w:r>
              <w:t>Political instability due to recent national elections and future sub-national elections</w:t>
            </w:r>
          </w:p>
        </w:tc>
        <w:tc>
          <w:tcPr>
            <w:tcW w:w="1860" w:type="dxa"/>
            <w:shd w:val="clear" w:color="auto" w:fill="auto"/>
          </w:tcPr>
          <w:p w:rsidR="000A7E4A" w:rsidRDefault="0029199E">
            <w:pPr>
              <w:rPr>
                <w:b/>
              </w:rPr>
            </w:pPr>
            <w:r>
              <w:t>Medium</w:t>
            </w:r>
          </w:p>
        </w:tc>
        <w:tc>
          <w:tcPr>
            <w:tcW w:w="1815" w:type="dxa"/>
            <w:shd w:val="clear" w:color="auto" w:fill="auto"/>
          </w:tcPr>
          <w:p w:rsidR="000A7E4A" w:rsidRDefault="0029199E">
            <w:pPr>
              <w:rPr>
                <w:b/>
              </w:rPr>
            </w:pPr>
            <w:r>
              <w:t>High</w:t>
            </w:r>
          </w:p>
        </w:tc>
        <w:tc>
          <w:tcPr>
            <w:tcW w:w="8940" w:type="dxa"/>
            <w:shd w:val="clear" w:color="auto" w:fill="auto"/>
          </w:tcPr>
          <w:p w:rsidR="000A7E4A" w:rsidRDefault="0029199E">
            <w:pPr>
              <w:numPr>
                <w:ilvl w:val="0"/>
                <w:numId w:val="10"/>
              </w:numPr>
              <w:pBdr>
                <w:top w:val="nil"/>
                <w:left w:val="nil"/>
                <w:bottom w:val="nil"/>
                <w:right w:val="nil"/>
                <w:between w:val="nil"/>
              </w:pBdr>
              <w:spacing w:line="259" w:lineRule="auto"/>
            </w:pPr>
            <w:r>
              <w:rPr>
                <w:color w:val="00000A"/>
                <w:sz w:val="22"/>
                <w:szCs w:val="22"/>
              </w:rPr>
              <w:t>The mitigation strategy is based on working with the direct beneficiaries of the program, who regardless of any political situation will continue to have needs</w:t>
            </w:r>
            <w:r w:rsidR="00BE78E5">
              <w:rPr>
                <w:color w:val="00000A"/>
                <w:sz w:val="22"/>
                <w:szCs w:val="22"/>
              </w:rPr>
              <w:t>.</w:t>
            </w:r>
          </w:p>
        </w:tc>
      </w:tr>
      <w:tr w:rsidR="000A7E4A">
        <w:trPr>
          <w:trHeight w:val="80"/>
        </w:trPr>
        <w:tc>
          <w:tcPr>
            <w:tcW w:w="2385" w:type="dxa"/>
            <w:shd w:val="clear" w:color="auto" w:fill="auto"/>
            <w:tcMar>
              <w:left w:w="98" w:type="dxa"/>
            </w:tcMar>
          </w:tcPr>
          <w:p w:rsidR="000A7E4A" w:rsidRDefault="0029199E">
            <w:pPr>
              <w:rPr>
                <w:b/>
              </w:rPr>
            </w:pPr>
            <w:r>
              <w:t>Low interest in the private sector for conducting inclusive business</w:t>
            </w:r>
          </w:p>
        </w:tc>
        <w:tc>
          <w:tcPr>
            <w:tcW w:w="1860" w:type="dxa"/>
            <w:shd w:val="clear" w:color="auto" w:fill="auto"/>
          </w:tcPr>
          <w:p w:rsidR="000A7E4A" w:rsidRDefault="0029199E">
            <w:pPr>
              <w:rPr>
                <w:b/>
              </w:rPr>
            </w:pPr>
            <w:r>
              <w:t xml:space="preserve">High </w:t>
            </w:r>
          </w:p>
        </w:tc>
        <w:tc>
          <w:tcPr>
            <w:tcW w:w="1815" w:type="dxa"/>
            <w:shd w:val="clear" w:color="auto" w:fill="auto"/>
          </w:tcPr>
          <w:p w:rsidR="000A7E4A" w:rsidRDefault="0029199E">
            <w:pPr>
              <w:rPr>
                <w:b/>
              </w:rPr>
            </w:pPr>
            <w:r>
              <w:t>Medium</w:t>
            </w:r>
          </w:p>
        </w:tc>
        <w:tc>
          <w:tcPr>
            <w:tcW w:w="8940" w:type="dxa"/>
            <w:shd w:val="clear" w:color="auto" w:fill="auto"/>
          </w:tcPr>
          <w:p w:rsidR="000A7E4A" w:rsidRDefault="0029199E">
            <w:pPr>
              <w:numPr>
                <w:ilvl w:val="0"/>
                <w:numId w:val="10"/>
              </w:numPr>
              <w:pBdr>
                <w:top w:val="nil"/>
                <w:left w:val="nil"/>
                <w:bottom w:val="nil"/>
                <w:right w:val="nil"/>
                <w:between w:val="nil"/>
              </w:pBdr>
              <w:spacing w:line="259" w:lineRule="auto"/>
              <w:rPr>
                <w:b/>
                <w:color w:val="00000A"/>
                <w:sz w:val="22"/>
                <w:szCs w:val="22"/>
              </w:rPr>
            </w:pPr>
            <w:r>
              <w:rPr>
                <w:color w:val="00000A"/>
                <w:sz w:val="22"/>
                <w:szCs w:val="22"/>
              </w:rPr>
              <w:t>We have started with the process of identifying among the participants in the private sector the "champions" or "anchor", who will be the leaders of the processes and who will be given a series of incentives for their participation...</w:t>
            </w:r>
          </w:p>
        </w:tc>
      </w:tr>
      <w:tr w:rsidR="000A7E4A">
        <w:trPr>
          <w:trHeight w:val="80"/>
        </w:trPr>
        <w:tc>
          <w:tcPr>
            <w:tcW w:w="2385" w:type="dxa"/>
            <w:shd w:val="clear" w:color="auto" w:fill="auto"/>
            <w:tcMar>
              <w:left w:w="98" w:type="dxa"/>
            </w:tcMar>
          </w:tcPr>
          <w:p w:rsidR="000A7E4A" w:rsidRDefault="0029199E">
            <w:r>
              <w:t>Changes in technical and decision-making personnel in government</w:t>
            </w:r>
          </w:p>
        </w:tc>
        <w:tc>
          <w:tcPr>
            <w:tcW w:w="1860" w:type="dxa"/>
            <w:shd w:val="clear" w:color="auto" w:fill="auto"/>
          </w:tcPr>
          <w:p w:rsidR="000A7E4A" w:rsidRDefault="0029199E">
            <w:r>
              <w:t>Medium</w:t>
            </w:r>
          </w:p>
        </w:tc>
        <w:tc>
          <w:tcPr>
            <w:tcW w:w="1815" w:type="dxa"/>
            <w:shd w:val="clear" w:color="auto" w:fill="auto"/>
          </w:tcPr>
          <w:p w:rsidR="000A7E4A" w:rsidRDefault="0029199E">
            <w:r>
              <w:t>High</w:t>
            </w:r>
          </w:p>
        </w:tc>
        <w:tc>
          <w:tcPr>
            <w:tcW w:w="8940" w:type="dxa"/>
            <w:shd w:val="clear" w:color="auto" w:fill="auto"/>
          </w:tcPr>
          <w:p w:rsidR="000A7E4A" w:rsidRDefault="0029199E" w:rsidP="00BE78E5">
            <w:pPr>
              <w:numPr>
                <w:ilvl w:val="0"/>
                <w:numId w:val="14"/>
              </w:numPr>
              <w:pBdr>
                <w:top w:val="nil"/>
                <w:left w:val="nil"/>
                <w:bottom w:val="nil"/>
                <w:right w:val="nil"/>
                <w:between w:val="nil"/>
              </w:pBdr>
              <w:spacing w:line="259" w:lineRule="auto"/>
              <w:ind w:left="425"/>
              <w:rPr>
                <w:color w:val="00000A"/>
                <w:sz w:val="22"/>
                <w:szCs w:val="22"/>
              </w:rPr>
            </w:pPr>
            <w:r>
              <w:rPr>
                <w:color w:val="00000A"/>
                <w:sz w:val="22"/>
                <w:szCs w:val="22"/>
              </w:rPr>
              <w:t xml:space="preserve">Because these changes are frequent, we have adopted a culture of registration of all the activities and agreements reached with authorities and technical personnel, so that in case of changes the activities can be quickly </w:t>
            </w:r>
            <w:r w:rsidR="00BE78E5">
              <w:rPr>
                <w:color w:val="00000A"/>
                <w:sz w:val="22"/>
                <w:szCs w:val="22"/>
              </w:rPr>
              <w:t>redirected if necessary.</w:t>
            </w:r>
          </w:p>
        </w:tc>
      </w:tr>
      <w:tr w:rsidR="000A7E4A">
        <w:trPr>
          <w:trHeight w:val="80"/>
        </w:trPr>
        <w:tc>
          <w:tcPr>
            <w:tcW w:w="2385" w:type="dxa"/>
            <w:shd w:val="clear" w:color="auto" w:fill="auto"/>
            <w:tcMar>
              <w:left w:w="98" w:type="dxa"/>
            </w:tcMar>
          </w:tcPr>
          <w:p w:rsidR="000A7E4A" w:rsidRDefault="0029199E">
            <w:r>
              <w:t>National policy and economy that favors agribusiness and disadvantages the permanence of forests</w:t>
            </w:r>
          </w:p>
        </w:tc>
        <w:tc>
          <w:tcPr>
            <w:tcW w:w="1860" w:type="dxa"/>
            <w:shd w:val="clear" w:color="auto" w:fill="auto"/>
          </w:tcPr>
          <w:p w:rsidR="000A7E4A" w:rsidRDefault="0029199E">
            <w:r>
              <w:t>High</w:t>
            </w:r>
          </w:p>
        </w:tc>
        <w:tc>
          <w:tcPr>
            <w:tcW w:w="1815" w:type="dxa"/>
            <w:shd w:val="clear" w:color="auto" w:fill="auto"/>
          </w:tcPr>
          <w:p w:rsidR="000A7E4A" w:rsidRDefault="0029199E">
            <w:r>
              <w:t>High</w:t>
            </w:r>
          </w:p>
        </w:tc>
        <w:tc>
          <w:tcPr>
            <w:tcW w:w="8940" w:type="dxa"/>
            <w:shd w:val="clear" w:color="auto" w:fill="auto"/>
          </w:tcPr>
          <w:p w:rsidR="000A7E4A" w:rsidRDefault="0029199E">
            <w:pPr>
              <w:numPr>
                <w:ilvl w:val="0"/>
                <w:numId w:val="15"/>
              </w:numPr>
              <w:pBdr>
                <w:top w:val="nil"/>
                <w:left w:val="nil"/>
                <w:bottom w:val="nil"/>
                <w:right w:val="nil"/>
                <w:between w:val="nil"/>
              </w:pBdr>
              <w:spacing w:line="259" w:lineRule="auto"/>
              <w:ind w:left="425"/>
              <w:rPr>
                <w:color w:val="00000A"/>
                <w:sz w:val="22"/>
                <w:szCs w:val="22"/>
              </w:rPr>
            </w:pPr>
            <w:r>
              <w:rPr>
                <w:color w:val="00000A"/>
                <w:sz w:val="22"/>
                <w:szCs w:val="22"/>
              </w:rPr>
              <w:t>In this case we have two strategies: the first one is the creation of synergies with other programs (for example, GLA) to continue reinforcing the actions of “protest” at national and international level of the damages that the agribusiness model causes; on the other hand, there is the work of WLP itself through which forest owners will be empowered so that they themselves are the barrier to the expansion of the agricultural frontier.</w:t>
            </w:r>
          </w:p>
        </w:tc>
      </w:tr>
    </w:tbl>
    <w:p w:rsidR="000A7E4A" w:rsidRDefault="000A7E4A">
      <w:pPr>
        <w:spacing w:after="160"/>
        <w:rPr>
          <w:b/>
          <w:color w:val="1F4E79"/>
          <w:sz w:val="28"/>
          <w:szCs w:val="28"/>
        </w:rPr>
      </w:pPr>
    </w:p>
    <w:p w:rsidR="000A7E4A" w:rsidRDefault="0029199E">
      <w:pPr>
        <w:pStyle w:val="Ttulo2"/>
      </w:pPr>
      <w:r>
        <w:t>1.6 Thematic programmes</w:t>
      </w:r>
    </w:p>
    <w:p w:rsidR="000A7E4A" w:rsidRDefault="000A7E4A"/>
    <w:p w:rsidR="000A7E4A" w:rsidRDefault="0029199E">
      <w:pPr>
        <w:pStyle w:val="Ttulo3"/>
      </w:pPr>
      <w:r>
        <w:t>Table 5. TBI thematic programmes</w:t>
      </w:r>
    </w:p>
    <w:p w:rsidR="000A7E4A" w:rsidRDefault="0029199E">
      <w:r>
        <w:t>Please describe, if relevant, to what extent and how the work plan reflects (some of) the following themes in your work:</w:t>
      </w:r>
    </w:p>
    <w:tbl>
      <w:tblPr>
        <w:tblStyle w:val="ae"/>
        <w:tblW w:w="14865" w:type="dxa"/>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865"/>
      </w:tblGrid>
      <w:tr w:rsidR="000A7E4A">
        <w:tc>
          <w:tcPr>
            <w:tcW w:w="14865" w:type="dxa"/>
            <w:shd w:val="clear" w:color="auto" w:fill="BDD7EE"/>
          </w:tcPr>
          <w:p w:rsidR="000A7E4A" w:rsidRDefault="0029199E">
            <w:pPr>
              <w:rPr>
                <w:color w:val="000000"/>
                <w:sz w:val="22"/>
                <w:szCs w:val="22"/>
              </w:rPr>
            </w:pPr>
            <w:r>
              <w:rPr>
                <w:sz w:val="22"/>
                <w:szCs w:val="22"/>
              </w:rPr>
              <w:t>A. Nationally Determined Contributions (NDCs)</w:t>
            </w:r>
          </w:p>
        </w:tc>
      </w:tr>
      <w:tr w:rsidR="000A7E4A">
        <w:trPr>
          <w:trHeight w:val="500"/>
        </w:trPr>
        <w:tc>
          <w:tcPr>
            <w:tcW w:w="14865" w:type="dxa"/>
          </w:tcPr>
          <w:p w:rsidR="000A7E4A" w:rsidRDefault="0029199E">
            <w:pPr>
              <w:rPr>
                <w:sz w:val="22"/>
                <w:szCs w:val="22"/>
              </w:rPr>
            </w:pPr>
            <w:r>
              <w:rPr>
                <w:sz w:val="22"/>
                <w:szCs w:val="22"/>
              </w:rPr>
              <w:t>One of the outcomes of the plan is directly related to the evaluation and subsequent prioritization of actions to reinforce the role that community forest management has for the fulfillment of Bolivia's NDCs that specifically have compromised results in terms of the area under community management.</w:t>
            </w:r>
          </w:p>
        </w:tc>
      </w:tr>
      <w:tr w:rsidR="000A7E4A">
        <w:trPr>
          <w:trHeight w:val="220"/>
        </w:trPr>
        <w:tc>
          <w:tcPr>
            <w:tcW w:w="14865" w:type="dxa"/>
            <w:shd w:val="clear" w:color="auto" w:fill="BDD7EE"/>
          </w:tcPr>
          <w:p w:rsidR="000A7E4A" w:rsidRDefault="0029199E">
            <w:pPr>
              <w:rPr>
                <w:i/>
                <w:color w:val="000000"/>
                <w:sz w:val="22"/>
                <w:szCs w:val="22"/>
              </w:rPr>
            </w:pPr>
            <w:r>
              <w:rPr>
                <w:sz w:val="22"/>
                <w:szCs w:val="22"/>
              </w:rPr>
              <w:t>B. Agrocommodities</w:t>
            </w:r>
          </w:p>
        </w:tc>
      </w:tr>
      <w:tr w:rsidR="000A7E4A">
        <w:trPr>
          <w:trHeight w:val="440"/>
        </w:trPr>
        <w:tc>
          <w:tcPr>
            <w:tcW w:w="14865" w:type="dxa"/>
          </w:tcPr>
          <w:p w:rsidR="000A7E4A" w:rsidRDefault="00BE78E5" w:rsidP="00BE78E5">
            <w:pPr>
              <w:rPr>
                <w:sz w:val="22"/>
                <w:szCs w:val="22"/>
              </w:rPr>
            </w:pPr>
            <w:r>
              <w:rPr>
                <w:color w:val="00000A"/>
                <w:sz w:val="22"/>
                <w:szCs w:val="22"/>
              </w:rPr>
              <w:t>We are working on the creation of synergies with other programs (for example, GLA) to continue reinforcing the actions of “protest” at national and international level of the damages that the agribusiness model causes; on the other hand, there is the work of WLP itself through which forest owners will be empowered so that they themselves are the barrier to the expansion of the agricultural frontier. Additionally, working with the peasant association of Guarayos on disseminating information related to the impacts of industrial scale agriculture on their livelihoods. This information includes climate change as an threat and the interaction with deforestation.</w:t>
            </w:r>
          </w:p>
        </w:tc>
      </w:tr>
      <w:tr w:rsidR="000A7E4A">
        <w:trPr>
          <w:trHeight w:val="60"/>
        </w:trPr>
        <w:tc>
          <w:tcPr>
            <w:tcW w:w="14865" w:type="dxa"/>
            <w:shd w:val="clear" w:color="auto" w:fill="BDD7EE"/>
          </w:tcPr>
          <w:p w:rsidR="000A7E4A" w:rsidRDefault="0029199E">
            <w:pPr>
              <w:rPr>
                <w:sz w:val="22"/>
                <w:szCs w:val="22"/>
              </w:rPr>
            </w:pPr>
            <w:r>
              <w:rPr>
                <w:sz w:val="22"/>
                <w:szCs w:val="22"/>
              </w:rPr>
              <w:t>C. Landscape restoration</w:t>
            </w:r>
          </w:p>
        </w:tc>
      </w:tr>
      <w:tr w:rsidR="000A7E4A">
        <w:trPr>
          <w:trHeight w:val="420"/>
        </w:trPr>
        <w:tc>
          <w:tcPr>
            <w:tcW w:w="14865" w:type="dxa"/>
          </w:tcPr>
          <w:p w:rsidR="000A7E4A" w:rsidRDefault="000A7E4A">
            <w:pPr>
              <w:rPr>
                <w:sz w:val="22"/>
                <w:szCs w:val="22"/>
              </w:rPr>
            </w:pPr>
          </w:p>
        </w:tc>
      </w:tr>
      <w:tr w:rsidR="000A7E4A">
        <w:trPr>
          <w:trHeight w:val="220"/>
        </w:trPr>
        <w:tc>
          <w:tcPr>
            <w:tcW w:w="14865" w:type="dxa"/>
            <w:shd w:val="clear" w:color="auto" w:fill="BDD7EE"/>
          </w:tcPr>
          <w:p w:rsidR="000A7E4A" w:rsidRDefault="0029199E">
            <w:pPr>
              <w:rPr>
                <w:sz w:val="22"/>
                <w:szCs w:val="22"/>
              </w:rPr>
            </w:pPr>
            <w:r>
              <w:rPr>
                <w:sz w:val="22"/>
                <w:szCs w:val="22"/>
              </w:rPr>
              <w:t>D. Business and finance</w:t>
            </w:r>
          </w:p>
        </w:tc>
      </w:tr>
      <w:tr w:rsidR="000A7E4A">
        <w:trPr>
          <w:trHeight w:val="400"/>
        </w:trPr>
        <w:tc>
          <w:tcPr>
            <w:tcW w:w="14865" w:type="dxa"/>
          </w:tcPr>
          <w:p w:rsidR="000A7E4A" w:rsidRDefault="0029199E">
            <w:pPr>
              <w:rPr>
                <w:sz w:val="22"/>
                <w:szCs w:val="22"/>
              </w:rPr>
            </w:pPr>
            <w:r>
              <w:rPr>
                <w:sz w:val="22"/>
                <w:szCs w:val="22"/>
              </w:rPr>
              <w:t xml:space="preserve"> Another outcome is directly related to the promotion and development of inclusive businesses and the participation of the private sector, banks and the State in the development of new financial models to promote community forest management. This outcome also includes all the financial readiness work that local communities and enterprises must have in order to properly manage financial resources.</w:t>
            </w:r>
          </w:p>
        </w:tc>
      </w:tr>
      <w:tr w:rsidR="000A7E4A">
        <w:trPr>
          <w:trHeight w:val="220"/>
        </w:trPr>
        <w:tc>
          <w:tcPr>
            <w:tcW w:w="14865" w:type="dxa"/>
            <w:shd w:val="clear" w:color="auto" w:fill="BDD7EE"/>
          </w:tcPr>
          <w:p w:rsidR="000A7E4A" w:rsidRDefault="0029199E">
            <w:pPr>
              <w:rPr>
                <w:sz w:val="22"/>
                <w:szCs w:val="22"/>
              </w:rPr>
            </w:pPr>
            <w:r>
              <w:rPr>
                <w:sz w:val="22"/>
                <w:szCs w:val="22"/>
              </w:rPr>
              <w:t>E. Gender and Youth</w:t>
            </w:r>
          </w:p>
        </w:tc>
      </w:tr>
      <w:tr w:rsidR="000A7E4A" w:rsidTr="00BE78E5">
        <w:trPr>
          <w:trHeight w:val="400"/>
        </w:trPr>
        <w:tc>
          <w:tcPr>
            <w:tcW w:w="14865" w:type="dxa"/>
            <w:shd w:val="clear" w:color="auto" w:fill="auto"/>
          </w:tcPr>
          <w:p w:rsidR="000A7E4A" w:rsidRDefault="00BE78E5" w:rsidP="00BE78E5">
            <w:pPr>
              <w:rPr>
                <w:sz w:val="22"/>
                <w:szCs w:val="22"/>
                <w:highlight w:val="yellow"/>
              </w:rPr>
            </w:pPr>
            <w:r w:rsidRPr="00BE78E5">
              <w:rPr>
                <w:sz w:val="22"/>
                <w:szCs w:val="22"/>
              </w:rPr>
              <w:t xml:space="preserve">We will conduct an analysis of the current constraints that women and youth face in Guarayos. Specifically, related to access to natural resources and the challenges of empowerment and entrepeneurship. This analysis take place at the onset of 2020 after which we will proceed to rethink our current interventions to account for identified strategies to increase gender sensitivities in outcomes related to our workplan. </w:t>
            </w:r>
            <w:r>
              <w:rPr>
                <w:sz w:val="22"/>
                <w:szCs w:val="22"/>
              </w:rPr>
              <w:t>The efficacy of these changes will be analysed at the end of 2020 to guide the development of the 2021 workplan for the Working Landscapes Program.</w:t>
            </w:r>
          </w:p>
        </w:tc>
      </w:tr>
    </w:tbl>
    <w:p w:rsidR="000A7E4A" w:rsidRDefault="000A7E4A">
      <w:pPr>
        <w:pBdr>
          <w:top w:val="nil"/>
          <w:left w:val="nil"/>
          <w:bottom w:val="nil"/>
          <w:right w:val="nil"/>
          <w:between w:val="nil"/>
        </w:pBdr>
        <w:ind w:left="720" w:hanging="720"/>
        <w:rPr>
          <w:color w:val="00000A"/>
        </w:rPr>
      </w:pPr>
    </w:p>
    <w:p w:rsidR="000A7E4A" w:rsidRDefault="0029199E">
      <w:pPr>
        <w:spacing w:after="160"/>
        <w:rPr>
          <w:b/>
          <w:sz w:val="32"/>
          <w:szCs w:val="32"/>
        </w:rPr>
      </w:pPr>
      <w:r>
        <w:br w:type="page"/>
      </w:r>
    </w:p>
    <w:p w:rsidR="000A7E4A" w:rsidRDefault="0029199E">
      <w:pPr>
        <w:pStyle w:val="Ttulo1"/>
      </w:pPr>
      <w:r>
        <w:t>Annex I: Working landscapes strategic priorities</w:t>
      </w:r>
    </w:p>
    <w:p w:rsidR="000A7E4A" w:rsidRDefault="000A7E4A"/>
    <w:tbl>
      <w:tblPr>
        <w:tblStyle w:val="af"/>
        <w:tblW w:w="10070" w:type="dxa"/>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070"/>
      </w:tblGrid>
      <w:tr w:rsidR="000A7E4A">
        <w:tc>
          <w:tcPr>
            <w:tcW w:w="10070" w:type="dxa"/>
            <w:shd w:val="clear" w:color="auto" w:fill="BDD7EE"/>
          </w:tcPr>
          <w:p w:rsidR="000A7E4A" w:rsidRDefault="0029199E">
            <w:pPr>
              <w:numPr>
                <w:ilvl w:val="0"/>
                <w:numId w:val="13"/>
              </w:numPr>
              <w:pBdr>
                <w:top w:val="nil"/>
                <w:left w:val="nil"/>
                <w:bottom w:val="nil"/>
                <w:right w:val="nil"/>
                <w:between w:val="nil"/>
              </w:pBdr>
              <w:spacing w:line="259" w:lineRule="auto"/>
              <w:rPr>
                <w:color w:val="000000"/>
                <w:sz w:val="22"/>
                <w:szCs w:val="22"/>
              </w:rPr>
            </w:pPr>
            <w:r>
              <w:rPr>
                <w:color w:val="000000"/>
                <w:sz w:val="22"/>
                <w:szCs w:val="22"/>
              </w:rPr>
              <w:t>Inclusive landscape governance</w:t>
            </w:r>
          </w:p>
        </w:tc>
      </w:tr>
      <w:tr w:rsidR="000A7E4A">
        <w:trPr>
          <w:trHeight w:val="140"/>
        </w:trPr>
        <w:tc>
          <w:tcPr>
            <w:tcW w:w="10070" w:type="dxa"/>
          </w:tcPr>
          <w:p w:rsidR="000A7E4A" w:rsidRDefault="0029199E">
            <w:pPr>
              <w:numPr>
                <w:ilvl w:val="1"/>
                <w:numId w:val="16"/>
              </w:numPr>
              <w:pBdr>
                <w:top w:val="nil"/>
                <w:left w:val="nil"/>
                <w:bottom w:val="nil"/>
                <w:right w:val="nil"/>
                <w:between w:val="nil"/>
              </w:pBdr>
              <w:spacing w:after="160" w:line="259" w:lineRule="auto"/>
            </w:pPr>
            <w:r>
              <w:rPr>
                <w:color w:val="00000A"/>
                <w:sz w:val="22"/>
                <w:szCs w:val="22"/>
              </w:rPr>
              <w:t>Inclusive decision-making</w:t>
            </w:r>
          </w:p>
        </w:tc>
      </w:tr>
      <w:tr w:rsidR="000A7E4A">
        <w:trPr>
          <w:trHeight w:val="140"/>
        </w:trPr>
        <w:tc>
          <w:tcPr>
            <w:tcW w:w="10070" w:type="dxa"/>
          </w:tcPr>
          <w:p w:rsidR="000A7E4A" w:rsidRDefault="0029199E">
            <w:pPr>
              <w:numPr>
                <w:ilvl w:val="1"/>
                <w:numId w:val="16"/>
              </w:numPr>
              <w:pBdr>
                <w:top w:val="nil"/>
                <w:left w:val="nil"/>
                <w:bottom w:val="nil"/>
                <w:right w:val="nil"/>
                <w:between w:val="nil"/>
              </w:pBdr>
              <w:spacing w:after="160" w:line="259" w:lineRule="auto"/>
            </w:pPr>
            <w:r>
              <w:rPr>
                <w:color w:val="00000A"/>
                <w:sz w:val="22"/>
                <w:szCs w:val="22"/>
              </w:rPr>
              <w:t>Cross sectoral coordination and collaboration</w:t>
            </w:r>
          </w:p>
        </w:tc>
      </w:tr>
      <w:tr w:rsidR="000A7E4A">
        <w:trPr>
          <w:trHeight w:val="220"/>
        </w:trPr>
        <w:tc>
          <w:tcPr>
            <w:tcW w:w="10070" w:type="dxa"/>
            <w:shd w:val="clear" w:color="auto" w:fill="BDD7EE"/>
          </w:tcPr>
          <w:p w:rsidR="000A7E4A" w:rsidRDefault="0029199E">
            <w:pPr>
              <w:numPr>
                <w:ilvl w:val="0"/>
                <w:numId w:val="13"/>
              </w:numPr>
              <w:pBdr>
                <w:top w:val="nil"/>
                <w:left w:val="nil"/>
                <w:bottom w:val="nil"/>
                <w:right w:val="nil"/>
                <w:between w:val="nil"/>
              </w:pBdr>
              <w:spacing w:line="259" w:lineRule="auto"/>
              <w:rPr>
                <w:color w:val="000000"/>
                <w:sz w:val="22"/>
                <w:szCs w:val="22"/>
              </w:rPr>
            </w:pPr>
            <w:r>
              <w:rPr>
                <w:color w:val="000000"/>
                <w:sz w:val="22"/>
                <w:szCs w:val="22"/>
              </w:rPr>
              <w:t>Sustainable land use</w:t>
            </w:r>
          </w:p>
        </w:tc>
      </w:tr>
      <w:tr w:rsidR="000A7E4A">
        <w:trPr>
          <w:trHeight w:val="220"/>
        </w:trPr>
        <w:tc>
          <w:tcPr>
            <w:tcW w:w="10070" w:type="dxa"/>
          </w:tcPr>
          <w:p w:rsidR="000A7E4A" w:rsidRDefault="0029199E">
            <w:pPr>
              <w:numPr>
                <w:ilvl w:val="0"/>
                <w:numId w:val="3"/>
              </w:numPr>
              <w:pBdr>
                <w:top w:val="nil"/>
                <w:left w:val="nil"/>
                <w:bottom w:val="nil"/>
                <w:right w:val="nil"/>
                <w:between w:val="nil"/>
              </w:pBdr>
              <w:spacing w:after="160" w:line="259" w:lineRule="auto"/>
            </w:pPr>
            <w:r>
              <w:rPr>
                <w:color w:val="00000A"/>
                <w:sz w:val="22"/>
                <w:szCs w:val="22"/>
              </w:rPr>
              <w:t>Smallholder agroforestry</w:t>
            </w:r>
          </w:p>
        </w:tc>
      </w:tr>
      <w:tr w:rsidR="000A7E4A">
        <w:trPr>
          <w:trHeight w:val="220"/>
        </w:trPr>
        <w:tc>
          <w:tcPr>
            <w:tcW w:w="10070" w:type="dxa"/>
          </w:tcPr>
          <w:p w:rsidR="000A7E4A" w:rsidRDefault="0029199E">
            <w:pPr>
              <w:numPr>
                <w:ilvl w:val="0"/>
                <w:numId w:val="3"/>
              </w:numPr>
              <w:pBdr>
                <w:top w:val="nil"/>
                <w:left w:val="nil"/>
                <w:bottom w:val="nil"/>
                <w:right w:val="nil"/>
                <w:between w:val="nil"/>
              </w:pBdr>
              <w:spacing w:after="160" w:line="259" w:lineRule="auto"/>
            </w:pPr>
            <w:r>
              <w:rPr>
                <w:color w:val="00000A"/>
                <w:sz w:val="22"/>
                <w:szCs w:val="22"/>
              </w:rPr>
              <w:t>Forest and landscape restoration</w:t>
            </w:r>
          </w:p>
        </w:tc>
      </w:tr>
      <w:tr w:rsidR="000A7E4A">
        <w:trPr>
          <w:trHeight w:val="60"/>
        </w:trPr>
        <w:tc>
          <w:tcPr>
            <w:tcW w:w="10070" w:type="dxa"/>
            <w:shd w:val="clear" w:color="auto" w:fill="BDD7EE"/>
          </w:tcPr>
          <w:p w:rsidR="000A7E4A" w:rsidRDefault="0029199E">
            <w:pPr>
              <w:numPr>
                <w:ilvl w:val="0"/>
                <w:numId w:val="13"/>
              </w:numPr>
              <w:pBdr>
                <w:top w:val="nil"/>
                <w:left w:val="nil"/>
                <w:bottom w:val="nil"/>
                <w:right w:val="nil"/>
                <w:between w:val="nil"/>
              </w:pBdr>
              <w:spacing w:line="259" w:lineRule="auto"/>
              <w:rPr>
                <w:color w:val="00000A"/>
                <w:sz w:val="22"/>
                <w:szCs w:val="22"/>
              </w:rPr>
            </w:pPr>
            <w:r>
              <w:rPr>
                <w:color w:val="00000A"/>
                <w:sz w:val="22"/>
                <w:szCs w:val="22"/>
              </w:rPr>
              <w:t>Responsible business and finance</w:t>
            </w:r>
          </w:p>
        </w:tc>
      </w:tr>
      <w:tr w:rsidR="000A7E4A">
        <w:trPr>
          <w:trHeight w:val="420"/>
        </w:trPr>
        <w:tc>
          <w:tcPr>
            <w:tcW w:w="10070" w:type="dxa"/>
          </w:tcPr>
          <w:p w:rsidR="000A7E4A" w:rsidRDefault="0029199E">
            <w:pPr>
              <w:numPr>
                <w:ilvl w:val="0"/>
                <w:numId w:val="8"/>
              </w:numPr>
              <w:pBdr>
                <w:top w:val="nil"/>
                <w:left w:val="nil"/>
                <w:bottom w:val="nil"/>
                <w:right w:val="nil"/>
                <w:between w:val="nil"/>
              </w:pBdr>
              <w:spacing w:line="259" w:lineRule="auto"/>
              <w:rPr>
                <w:color w:val="00000A"/>
                <w:sz w:val="22"/>
                <w:szCs w:val="22"/>
              </w:rPr>
            </w:pPr>
            <w:r>
              <w:rPr>
                <w:color w:val="00000A"/>
                <w:sz w:val="22"/>
                <w:szCs w:val="22"/>
              </w:rPr>
              <w:t>Integration of smallholders in value chains</w:t>
            </w:r>
          </w:p>
        </w:tc>
      </w:tr>
      <w:tr w:rsidR="000A7E4A">
        <w:trPr>
          <w:trHeight w:val="420"/>
        </w:trPr>
        <w:tc>
          <w:tcPr>
            <w:tcW w:w="10070" w:type="dxa"/>
          </w:tcPr>
          <w:p w:rsidR="000A7E4A" w:rsidRDefault="0029199E">
            <w:pPr>
              <w:numPr>
                <w:ilvl w:val="0"/>
                <w:numId w:val="8"/>
              </w:numPr>
              <w:pBdr>
                <w:top w:val="nil"/>
                <w:left w:val="nil"/>
                <w:bottom w:val="nil"/>
                <w:right w:val="nil"/>
                <w:between w:val="nil"/>
              </w:pBdr>
              <w:spacing w:line="259" w:lineRule="auto"/>
              <w:rPr>
                <w:color w:val="00000A"/>
                <w:sz w:val="22"/>
                <w:szCs w:val="22"/>
              </w:rPr>
            </w:pPr>
            <w:r>
              <w:rPr>
                <w:color w:val="00000A"/>
                <w:sz w:val="22"/>
                <w:szCs w:val="22"/>
              </w:rPr>
              <w:t>Business models and financing mechanisms</w:t>
            </w:r>
          </w:p>
        </w:tc>
      </w:tr>
      <w:tr w:rsidR="000A7E4A">
        <w:trPr>
          <w:trHeight w:val="420"/>
        </w:trPr>
        <w:tc>
          <w:tcPr>
            <w:tcW w:w="10070" w:type="dxa"/>
          </w:tcPr>
          <w:p w:rsidR="000A7E4A" w:rsidRDefault="0029199E">
            <w:pPr>
              <w:numPr>
                <w:ilvl w:val="0"/>
                <w:numId w:val="8"/>
              </w:numPr>
              <w:pBdr>
                <w:top w:val="nil"/>
                <w:left w:val="nil"/>
                <w:bottom w:val="nil"/>
                <w:right w:val="nil"/>
                <w:between w:val="nil"/>
              </w:pBdr>
              <w:spacing w:line="259" w:lineRule="auto"/>
              <w:rPr>
                <w:color w:val="00000A"/>
                <w:sz w:val="22"/>
                <w:szCs w:val="22"/>
              </w:rPr>
            </w:pPr>
            <w:r>
              <w:rPr>
                <w:color w:val="00000A"/>
                <w:sz w:val="22"/>
                <w:szCs w:val="22"/>
              </w:rPr>
              <w:t>Private sector standards and commitments</w:t>
            </w:r>
          </w:p>
        </w:tc>
      </w:tr>
      <w:tr w:rsidR="000A7E4A">
        <w:trPr>
          <w:trHeight w:val="220"/>
        </w:trPr>
        <w:tc>
          <w:tcPr>
            <w:tcW w:w="10070" w:type="dxa"/>
            <w:shd w:val="clear" w:color="auto" w:fill="BDD7EE"/>
          </w:tcPr>
          <w:p w:rsidR="000A7E4A" w:rsidRDefault="0029199E">
            <w:pPr>
              <w:numPr>
                <w:ilvl w:val="0"/>
                <w:numId w:val="13"/>
              </w:numPr>
              <w:pBdr>
                <w:top w:val="nil"/>
                <w:left w:val="nil"/>
                <w:bottom w:val="nil"/>
                <w:right w:val="nil"/>
                <w:between w:val="nil"/>
              </w:pBdr>
              <w:spacing w:line="259" w:lineRule="auto"/>
              <w:rPr>
                <w:color w:val="00000A"/>
                <w:sz w:val="22"/>
                <w:szCs w:val="22"/>
              </w:rPr>
            </w:pPr>
            <w:r>
              <w:rPr>
                <w:color w:val="00000A"/>
                <w:sz w:val="22"/>
                <w:szCs w:val="22"/>
              </w:rPr>
              <w:t>Gender and youth</w:t>
            </w:r>
          </w:p>
        </w:tc>
      </w:tr>
    </w:tbl>
    <w:p w:rsidR="000A7E4A" w:rsidRDefault="000A7E4A">
      <w:pPr>
        <w:pStyle w:val="Ttulo1"/>
        <w:rPr>
          <w:rFonts w:ascii="Calibri" w:eastAsia="Calibri" w:hAnsi="Calibri" w:cs="Calibri"/>
          <w:b w:val="0"/>
          <w:sz w:val="22"/>
          <w:szCs w:val="22"/>
        </w:rPr>
      </w:pPr>
    </w:p>
    <w:p w:rsidR="000A7E4A" w:rsidRDefault="0029199E">
      <w:pPr>
        <w:spacing w:after="160"/>
      </w:pPr>
      <w:r>
        <w:br w:type="page"/>
      </w:r>
    </w:p>
    <w:p w:rsidR="000A7E4A" w:rsidRDefault="0029199E">
      <w:pPr>
        <w:pStyle w:val="Ttulo1"/>
      </w:pPr>
      <w:r>
        <w:t>Annex II: Outcome formulation tools</w:t>
      </w:r>
    </w:p>
    <w:p w:rsidR="000A7E4A" w:rsidRDefault="0029199E">
      <w:pPr>
        <w:rPr>
          <w:b/>
        </w:rPr>
      </w:pPr>
      <w:r>
        <w:rPr>
          <w:color w:val="000000"/>
        </w:rPr>
        <w:br/>
      </w:r>
      <w:r>
        <w:rPr>
          <w:b/>
        </w:rPr>
        <w:t>Purpose of the tools</w:t>
      </w:r>
    </w:p>
    <w:p w:rsidR="000A7E4A" w:rsidRDefault="0029199E">
      <w:r>
        <w:t xml:space="preserve">In order to improve the formulations of outcomes in the outcome framework and the baseline situation, as well as for target setting and tracking progress, we make use of scaled tools that show what progress can be reported as an outcome. </w:t>
      </w:r>
    </w:p>
    <w:p w:rsidR="000A7E4A" w:rsidRDefault="000A7E4A"/>
    <w:p w:rsidR="000A7E4A" w:rsidRDefault="0029199E">
      <w:r>
        <w:t>Governance, policy and practice are complex by their nature. The tools are therefore not necessarily linear and sequential, for instance certain levels could be jumped-over or levels could happen simultaneously. The tool has an inherent element of subjectivity and does not give a direct measure of only TBI influencing result: the level might have been reached through a variety of actors besides TBI. That means that being higher in the scale is not always better. The scales are merely meant as tool for setting targets and as reflection for what has been achieved.</w:t>
      </w:r>
    </w:p>
    <w:p w:rsidR="000A7E4A" w:rsidRDefault="000A7E4A"/>
    <w:p w:rsidR="000A7E4A" w:rsidRDefault="0029199E">
      <w:r>
        <w:t>In WL we make use of a ECA and CAP tool similar to those used in the GLA, as well as a Climate Smart Practices tool (CSP) to improve outcome formulations, complemented by a gender and youth sensitivity tool to check interventions.</w:t>
      </w:r>
    </w:p>
    <w:p w:rsidR="000A7E4A" w:rsidRDefault="0029199E">
      <w:pPr>
        <w:numPr>
          <w:ilvl w:val="0"/>
          <w:numId w:val="11"/>
        </w:numPr>
        <w:pBdr>
          <w:top w:val="nil"/>
          <w:left w:val="nil"/>
          <w:bottom w:val="nil"/>
          <w:right w:val="nil"/>
          <w:between w:val="nil"/>
        </w:pBdr>
      </w:pPr>
      <w:r>
        <w:rPr>
          <w:b/>
          <w:color w:val="00000A"/>
        </w:rPr>
        <w:t xml:space="preserve">IIa Engagement, Commitment and Action (ECA) </w:t>
      </w:r>
      <w:r>
        <w:rPr>
          <w:color w:val="00000A"/>
        </w:rPr>
        <w:t>– outcomes related to engagement and commitments of public and private actors towards inclusive landscape governance, improved sustainable practices and responsible business and finance.</w:t>
      </w:r>
    </w:p>
    <w:p w:rsidR="000A7E4A" w:rsidRDefault="0029199E">
      <w:pPr>
        <w:numPr>
          <w:ilvl w:val="0"/>
          <w:numId w:val="11"/>
        </w:numPr>
        <w:pBdr>
          <w:top w:val="nil"/>
          <w:left w:val="nil"/>
          <w:bottom w:val="nil"/>
          <w:right w:val="nil"/>
          <w:between w:val="nil"/>
        </w:pBdr>
      </w:pPr>
      <w:r>
        <w:rPr>
          <w:b/>
          <w:color w:val="00000A"/>
        </w:rPr>
        <w:t xml:space="preserve">IIb Civil Actor Participation (CAP) </w:t>
      </w:r>
      <w:r>
        <w:rPr>
          <w:color w:val="00000A"/>
        </w:rPr>
        <w:t xml:space="preserve">– outcomes related to the participation of civil actors in governance, climate smart practices and business and finance. Civil actors can be local CSOs, CBOs, communities or specific local community groups (e.g. indigenous people, women, youth, etc.), but it can also be regional or national level CSOs that TBI trains and/or connects with. </w:t>
      </w:r>
    </w:p>
    <w:p w:rsidR="000A7E4A" w:rsidRDefault="0029199E">
      <w:pPr>
        <w:numPr>
          <w:ilvl w:val="0"/>
          <w:numId w:val="11"/>
        </w:numPr>
        <w:pBdr>
          <w:top w:val="nil"/>
          <w:left w:val="nil"/>
          <w:bottom w:val="nil"/>
          <w:right w:val="nil"/>
          <w:between w:val="nil"/>
        </w:pBdr>
      </w:pPr>
      <w:r>
        <w:rPr>
          <w:b/>
          <w:color w:val="00000A"/>
        </w:rPr>
        <w:t xml:space="preserve">IIc Climate Smart Practice (CSP) </w:t>
      </w:r>
      <w:r>
        <w:rPr>
          <w:color w:val="00000A"/>
        </w:rPr>
        <w:t xml:space="preserve">– outcomes related to sustainable practices of local actors, like communities or specific community groups. </w:t>
      </w:r>
    </w:p>
    <w:p w:rsidR="000A7E4A" w:rsidRDefault="0029199E">
      <w:pPr>
        <w:numPr>
          <w:ilvl w:val="0"/>
          <w:numId w:val="11"/>
        </w:numPr>
        <w:pBdr>
          <w:top w:val="nil"/>
          <w:left w:val="nil"/>
          <w:bottom w:val="nil"/>
          <w:right w:val="nil"/>
          <w:between w:val="nil"/>
        </w:pBdr>
      </w:pPr>
      <w:r>
        <w:rPr>
          <w:b/>
          <w:color w:val="00000A"/>
        </w:rPr>
        <w:t xml:space="preserve">IId Gender and Youth Sensitivity </w:t>
      </w:r>
      <w:r>
        <w:rPr>
          <w:color w:val="00000A"/>
        </w:rPr>
        <w:t xml:space="preserve">– to check whether interventions are gender harmful, gender sensitive or gender transformative. </w:t>
      </w:r>
    </w:p>
    <w:p w:rsidR="000A7E4A" w:rsidRDefault="000A7E4A"/>
    <w:p w:rsidR="000A7E4A" w:rsidRDefault="000A7E4A"/>
    <w:p w:rsidR="000A7E4A" w:rsidRDefault="000A7E4A"/>
    <w:p w:rsidR="000A7E4A" w:rsidRDefault="0029199E">
      <w:pPr>
        <w:spacing w:after="160"/>
        <w:rPr>
          <w:u w:val="single"/>
        </w:rPr>
      </w:pPr>
      <w:r>
        <w:br w:type="page"/>
      </w:r>
    </w:p>
    <w:p w:rsidR="000A7E4A" w:rsidRDefault="0029199E">
      <w:pPr>
        <w:pStyle w:val="Ttulo1"/>
      </w:pPr>
      <w:r>
        <w:t>Annex IIa: Engagement, Commitment and Action (ECA) tool</w:t>
      </w:r>
    </w:p>
    <w:p w:rsidR="000A7E4A" w:rsidRDefault="000A7E4A">
      <w:pPr>
        <w:rPr>
          <w:u w:val="single"/>
        </w:rPr>
      </w:pPr>
    </w:p>
    <w:p w:rsidR="000A7E4A" w:rsidRDefault="0029199E">
      <w:pPr>
        <w:rPr>
          <w:u w:val="single"/>
        </w:rPr>
      </w:pPr>
      <w:r>
        <w:t>The tool consists of 8 levels of “engagement, commitment and action” of public and private actors: government institutions and companies at local, regional, national and international level.</w:t>
      </w:r>
    </w:p>
    <w:p w:rsidR="000A7E4A" w:rsidRDefault="000A7E4A">
      <w:pPr>
        <w:rPr>
          <w:u w:val="single"/>
        </w:rPr>
      </w:pPr>
    </w:p>
    <w:tbl>
      <w:tblPr>
        <w:tblStyle w:val="af0"/>
        <w:tblW w:w="992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81"/>
        <w:gridCol w:w="2402"/>
        <w:gridCol w:w="6540"/>
      </w:tblGrid>
      <w:tr w:rsidR="000A7E4A">
        <w:tc>
          <w:tcPr>
            <w:tcW w:w="981" w:type="dxa"/>
            <w:shd w:val="clear" w:color="auto" w:fill="D9D9D9"/>
            <w:tcMar>
              <w:left w:w="103" w:type="dxa"/>
            </w:tcMar>
          </w:tcPr>
          <w:p w:rsidR="000A7E4A" w:rsidRDefault="0029199E">
            <w:pPr>
              <w:spacing w:line="276" w:lineRule="auto"/>
              <w:rPr>
                <w:b/>
              </w:rPr>
            </w:pPr>
            <w:r>
              <w:rPr>
                <w:b/>
              </w:rPr>
              <w:t>Level</w:t>
            </w:r>
          </w:p>
        </w:tc>
        <w:tc>
          <w:tcPr>
            <w:tcW w:w="2402" w:type="dxa"/>
            <w:shd w:val="clear" w:color="auto" w:fill="D9D9D9"/>
            <w:tcMar>
              <w:left w:w="103" w:type="dxa"/>
            </w:tcMar>
          </w:tcPr>
          <w:p w:rsidR="000A7E4A" w:rsidRDefault="0029199E">
            <w:pPr>
              <w:spacing w:line="276" w:lineRule="auto"/>
              <w:rPr>
                <w:b/>
              </w:rPr>
            </w:pPr>
            <w:r>
              <w:rPr>
                <w:b/>
              </w:rPr>
              <w:t>Description of level</w:t>
            </w:r>
          </w:p>
        </w:tc>
        <w:tc>
          <w:tcPr>
            <w:tcW w:w="6540" w:type="dxa"/>
            <w:shd w:val="clear" w:color="auto" w:fill="D9D9D9"/>
            <w:tcMar>
              <w:left w:w="103" w:type="dxa"/>
            </w:tcMar>
          </w:tcPr>
          <w:p w:rsidR="000A7E4A" w:rsidRDefault="0029199E">
            <w:pPr>
              <w:spacing w:line="276" w:lineRule="auto"/>
              <w:rPr>
                <w:b/>
              </w:rPr>
            </w:pPr>
            <w:r>
              <w:rPr>
                <w:b/>
              </w:rPr>
              <w:t>Generic examples of evidence</w:t>
            </w:r>
          </w:p>
        </w:tc>
      </w:tr>
      <w:tr w:rsidR="000A7E4A">
        <w:tc>
          <w:tcPr>
            <w:tcW w:w="981" w:type="dxa"/>
            <w:tcMar>
              <w:left w:w="103" w:type="dxa"/>
            </w:tcMar>
          </w:tcPr>
          <w:p w:rsidR="000A7E4A" w:rsidRDefault="0029199E">
            <w:pPr>
              <w:spacing w:line="276" w:lineRule="auto"/>
            </w:pPr>
            <w:r>
              <w:t>Level 1</w:t>
            </w:r>
          </w:p>
        </w:tc>
        <w:tc>
          <w:tcPr>
            <w:tcW w:w="2402" w:type="dxa"/>
            <w:tcMar>
              <w:left w:w="103" w:type="dxa"/>
            </w:tcMar>
          </w:tcPr>
          <w:p w:rsidR="000A7E4A" w:rsidRDefault="0029199E">
            <w:pPr>
              <w:spacing w:line="276" w:lineRule="auto"/>
            </w:pPr>
            <w:r>
              <w:rPr>
                <w:b/>
              </w:rPr>
              <w:t>No interest</w:t>
            </w:r>
            <w:r>
              <w:t xml:space="preserve"> in the issue</w:t>
            </w:r>
          </w:p>
        </w:tc>
        <w:tc>
          <w:tcPr>
            <w:tcW w:w="6540" w:type="dxa"/>
            <w:tcMar>
              <w:left w:w="103" w:type="dxa"/>
            </w:tcMar>
          </w:tcPr>
          <w:p w:rsidR="000A7E4A" w:rsidRDefault="0029199E">
            <w:pPr>
              <w:spacing w:line="276" w:lineRule="auto"/>
            </w:pPr>
            <w:r>
              <w:t>- No interest in or discussion on the issue among decision makers</w:t>
            </w:r>
          </w:p>
        </w:tc>
      </w:tr>
      <w:tr w:rsidR="000A7E4A">
        <w:tc>
          <w:tcPr>
            <w:tcW w:w="981" w:type="dxa"/>
            <w:tcMar>
              <w:left w:w="103" w:type="dxa"/>
            </w:tcMar>
          </w:tcPr>
          <w:p w:rsidR="000A7E4A" w:rsidRDefault="0029199E">
            <w:pPr>
              <w:spacing w:line="276" w:lineRule="auto"/>
            </w:pPr>
            <w:r>
              <w:t>Level 2</w:t>
            </w:r>
          </w:p>
        </w:tc>
        <w:tc>
          <w:tcPr>
            <w:tcW w:w="2402" w:type="dxa"/>
            <w:tcMar>
              <w:left w:w="103" w:type="dxa"/>
            </w:tcMar>
          </w:tcPr>
          <w:p w:rsidR="000A7E4A" w:rsidRDefault="0029199E">
            <w:pPr>
              <w:spacing w:line="276" w:lineRule="auto"/>
            </w:pPr>
            <w:r>
              <w:rPr>
                <w:b/>
              </w:rPr>
              <w:t>Increased awareness and receptiveness</w:t>
            </w:r>
            <w:r>
              <w:t xml:space="preserve"> of decision makers</w:t>
            </w:r>
          </w:p>
          <w:p w:rsidR="000A7E4A" w:rsidRDefault="000A7E4A">
            <w:pPr>
              <w:spacing w:line="276" w:lineRule="auto"/>
            </w:pPr>
          </w:p>
        </w:tc>
        <w:tc>
          <w:tcPr>
            <w:tcW w:w="6540" w:type="dxa"/>
            <w:tcMar>
              <w:left w:w="103" w:type="dxa"/>
            </w:tcMar>
          </w:tcPr>
          <w:p w:rsidR="000A7E4A" w:rsidRDefault="0029199E">
            <w:pPr>
              <w:spacing w:line="276" w:lineRule="auto"/>
            </w:pPr>
            <w:r>
              <w:t>- Decision makers have shown interest in information from TBI (partners) or have consulted with TBI (partners)</w:t>
            </w:r>
          </w:p>
          <w:p w:rsidR="000A7E4A" w:rsidRDefault="0029199E">
            <w:pPr>
              <w:spacing w:line="276" w:lineRule="auto"/>
            </w:pPr>
            <w:r>
              <w:t xml:space="preserve">- Decision makers and TBI (partners) have shared information </w:t>
            </w:r>
          </w:p>
          <w:p w:rsidR="000A7E4A" w:rsidRDefault="0029199E">
            <w:pPr>
              <w:spacing w:line="276" w:lineRule="auto"/>
            </w:pPr>
            <w:r>
              <w:t xml:space="preserve">- ‘Champions for change’ (key political, business or public figures) have emerged </w:t>
            </w:r>
          </w:p>
          <w:p w:rsidR="000A7E4A" w:rsidRDefault="0029199E">
            <w:pPr>
              <w:spacing w:line="276" w:lineRule="auto"/>
            </w:pPr>
            <w:r>
              <w:t>- Decision makers have referenced TBI (partners)’s stance or research/case studies/campaign material in meetings and the media</w:t>
            </w:r>
          </w:p>
        </w:tc>
      </w:tr>
      <w:tr w:rsidR="000A7E4A">
        <w:tc>
          <w:tcPr>
            <w:tcW w:w="981" w:type="dxa"/>
            <w:tcMar>
              <w:left w:w="103" w:type="dxa"/>
            </w:tcMar>
          </w:tcPr>
          <w:p w:rsidR="000A7E4A" w:rsidRDefault="0029199E">
            <w:pPr>
              <w:spacing w:line="276" w:lineRule="auto"/>
            </w:pPr>
            <w:r>
              <w:t>Level 3</w:t>
            </w:r>
          </w:p>
        </w:tc>
        <w:tc>
          <w:tcPr>
            <w:tcW w:w="2402" w:type="dxa"/>
            <w:tcMar>
              <w:left w:w="103" w:type="dxa"/>
            </w:tcMar>
          </w:tcPr>
          <w:p w:rsidR="000A7E4A" w:rsidRDefault="0029199E">
            <w:pPr>
              <w:spacing w:line="276" w:lineRule="auto"/>
            </w:pPr>
            <w:r>
              <w:t xml:space="preserve">Lobby/advocacy issue </w:t>
            </w:r>
            <w:r>
              <w:rPr>
                <w:b/>
              </w:rPr>
              <w:t>on the political/corporate agenda</w:t>
            </w:r>
          </w:p>
        </w:tc>
        <w:tc>
          <w:tcPr>
            <w:tcW w:w="6540" w:type="dxa"/>
            <w:tcMar>
              <w:left w:w="103" w:type="dxa"/>
            </w:tcMar>
          </w:tcPr>
          <w:p w:rsidR="000A7E4A" w:rsidRDefault="0029199E">
            <w:pPr>
              <w:spacing w:line="276" w:lineRule="auto"/>
            </w:pPr>
            <w:r>
              <w:t>- Specific formal political/corporate meetings have been scheduled to discuss the issue</w:t>
            </w:r>
          </w:p>
          <w:p w:rsidR="000A7E4A" w:rsidRDefault="0029199E">
            <w:pPr>
              <w:spacing w:line="276" w:lineRule="auto"/>
            </w:pPr>
            <w:r>
              <w:t>- TBI (partners) have been invited to sit in a panel/committee/working group related to the lobby/advocacy issue</w:t>
            </w:r>
          </w:p>
          <w:p w:rsidR="000A7E4A" w:rsidRDefault="0029199E">
            <w:pPr>
              <w:spacing w:line="276" w:lineRule="auto"/>
            </w:pPr>
            <w:r>
              <w:t>- Issue has been regularly referred to during key meetings/speeches or given ‘slot’ on agenda by decision makers</w:t>
            </w:r>
          </w:p>
          <w:p w:rsidR="000A7E4A" w:rsidRDefault="0029199E">
            <w:pPr>
              <w:spacing w:line="276" w:lineRule="auto"/>
            </w:pPr>
            <w:r>
              <w:t>- TBI (partners) have been requested to present particular information/evidence/cases/studies/proposals by decision makers</w:t>
            </w:r>
          </w:p>
        </w:tc>
      </w:tr>
      <w:tr w:rsidR="000A7E4A">
        <w:tc>
          <w:tcPr>
            <w:tcW w:w="981" w:type="dxa"/>
            <w:tcMar>
              <w:left w:w="103" w:type="dxa"/>
            </w:tcMar>
          </w:tcPr>
          <w:p w:rsidR="000A7E4A" w:rsidRDefault="0029199E">
            <w:pPr>
              <w:spacing w:line="276" w:lineRule="auto"/>
            </w:pPr>
            <w:r>
              <w:t>Level 4</w:t>
            </w:r>
          </w:p>
        </w:tc>
        <w:tc>
          <w:tcPr>
            <w:tcW w:w="2402" w:type="dxa"/>
            <w:tcMar>
              <w:left w:w="103" w:type="dxa"/>
            </w:tcMar>
          </w:tcPr>
          <w:p w:rsidR="000A7E4A" w:rsidRDefault="0029199E">
            <w:pPr>
              <w:spacing w:line="276" w:lineRule="auto"/>
              <w:rPr>
                <w:b/>
              </w:rPr>
            </w:pPr>
            <w:r>
              <w:rPr>
                <w:b/>
              </w:rPr>
              <w:t>Concrete steps taken towards development or improvement of laws, policies, guidelines or action plans</w:t>
            </w:r>
          </w:p>
        </w:tc>
        <w:tc>
          <w:tcPr>
            <w:tcW w:w="6540" w:type="dxa"/>
            <w:tcMar>
              <w:left w:w="103" w:type="dxa"/>
            </w:tcMar>
          </w:tcPr>
          <w:p w:rsidR="000A7E4A" w:rsidRDefault="0029199E">
            <w:pPr>
              <w:spacing w:line="276" w:lineRule="auto"/>
            </w:pPr>
            <w:r>
              <w:t>- Political/corporate commitment to development or improvement of legislation, policies, guidelines or action plans has been expressed (and can be verified)</w:t>
            </w:r>
          </w:p>
          <w:p w:rsidR="000A7E4A" w:rsidRDefault="0029199E">
            <w:pPr>
              <w:spacing w:line="276" w:lineRule="auto"/>
            </w:pPr>
            <w:r>
              <w:t>- Research has been commissioned by key decision-makers to inform development or improvement of legislation, policies, guidelines or action plans</w:t>
            </w:r>
          </w:p>
          <w:p w:rsidR="000A7E4A" w:rsidRDefault="0029199E">
            <w:pPr>
              <w:spacing w:line="276" w:lineRule="auto"/>
            </w:pPr>
            <w:r>
              <w:t>- Promising practices are being piloted by policital/corporate actors</w:t>
            </w:r>
          </w:p>
          <w:p w:rsidR="000A7E4A" w:rsidRDefault="0029199E">
            <w:pPr>
              <w:spacing w:line="276" w:lineRule="auto"/>
            </w:pPr>
            <w:r>
              <w:t>- Formal committee/working group has been established for development or revision of legislation, policies, guidelines or action plan</w:t>
            </w:r>
          </w:p>
        </w:tc>
      </w:tr>
      <w:tr w:rsidR="000A7E4A">
        <w:tc>
          <w:tcPr>
            <w:tcW w:w="981" w:type="dxa"/>
            <w:tcMar>
              <w:left w:w="103" w:type="dxa"/>
            </w:tcMar>
          </w:tcPr>
          <w:p w:rsidR="000A7E4A" w:rsidRDefault="0029199E">
            <w:pPr>
              <w:spacing w:line="276" w:lineRule="auto"/>
            </w:pPr>
            <w:r>
              <w:t>Level 5</w:t>
            </w:r>
          </w:p>
        </w:tc>
        <w:tc>
          <w:tcPr>
            <w:tcW w:w="2402" w:type="dxa"/>
            <w:tcMar>
              <w:left w:w="103" w:type="dxa"/>
            </w:tcMar>
          </w:tcPr>
          <w:p w:rsidR="000A7E4A" w:rsidRDefault="0029199E">
            <w:pPr>
              <w:spacing w:line="276" w:lineRule="auto"/>
              <w:rPr>
                <w:b/>
              </w:rPr>
            </w:pPr>
            <w:r>
              <w:rPr>
                <w:b/>
              </w:rPr>
              <w:t xml:space="preserve">Developed/improved laws, policies, guidelines or action plans have been  approved </w:t>
            </w:r>
          </w:p>
        </w:tc>
        <w:tc>
          <w:tcPr>
            <w:tcW w:w="6540" w:type="dxa"/>
            <w:tcMar>
              <w:left w:w="103" w:type="dxa"/>
            </w:tcMar>
          </w:tcPr>
          <w:p w:rsidR="000A7E4A" w:rsidRDefault="0029199E">
            <w:pPr>
              <w:spacing w:line="276" w:lineRule="auto"/>
            </w:pPr>
            <w:r>
              <w:t>- Developed or revised laws, policies, guidelines or action plans have been formally approved and are seen as an improvement by TBI</w:t>
            </w:r>
          </w:p>
        </w:tc>
      </w:tr>
      <w:tr w:rsidR="000A7E4A">
        <w:trPr>
          <w:trHeight w:val="2160"/>
        </w:trPr>
        <w:tc>
          <w:tcPr>
            <w:tcW w:w="981" w:type="dxa"/>
            <w:tcMar>
              <w:left w:w="103" w:type="dxa"/>
            </w:tcMar>
          </w:tcPr>
          <w:p w:rsidR="000A7E4A" w:rsidRDefault="0029199E">
            <w:pPr>
              <w:spacing w:line="276" w:lineRule="auto"/>
            </w:pPr>
            <w:r>
              <w:t>Level 6</w:t>
            </w:r>
          </w:p>
        </w:tc>
        <w:tc>
          <w:tcPr>
            <w:tcW w:w="2402" w:type="dxa"/>
            <w:tcMar>
              <w:left w:w="103" w:type="dxa"/>
            </w:tcMar>
          </w:tcPr>
          <w:p w:rsidR="000A7E4A" w:rsidRDefault="0029199E">
            <w:pPr>
              <w:spacing w:line="276" w:lineRule="auto"/>
              <w:rPr>
                <w:b/>
              </w:rPr>
            </w:pPr>
            <w:r>
              <w:rPr>
                <w:b/>
              </w:rPr>
              <w:t xml:space="preserve">Developed/improved laws, policies, guidelines or action plans are not implemented or to a poor extent </w:t>
            </w:r>
          </w:p>
        </w:tc>
        <w:tc>
          <w:tcPr>
            <w:tcW w:w="6540" w:type="dxa"/>
            <w:tcMar>
              <w:left w:w="103" w:type="dxa"/>
            </w:tcMar>
          </w:tcPr>
          <w:p w:rsidR="000A7E4A" w:rsidRDefault="0029199E">
            <w:pPr>
              <w:spacing w:line="276" w:lineRule="auto"/>
            </w:pPr>
            <w:r>
              <w:t xml:space="preserve">Policies are in place, developed or revised, but:- Governments/companies have not (yet) or poorly implemented the laws, policies, guidelines or action plans  </w:t>
            </w:r>
          </w:p>
          <w:p w:rsidR="000A7E4A" w:rsidRDefault="0029199E">
            <w:pPr>
              <w:spacing w:line="276" w:lineRule="auto"/>
            </w:pPr>
            <w:r>
              <w:t>- No or little (increased) investment (budget, human resources, technical capacity) for implementation of legislation, policies, guidelines or action plans</w:t>
            </w:r>
          </w:p>
          <w:p w:rsidR="000A7E4A" w:rsidRDefault="0029199E">
            <w:pPr>
              <w:spacing w:line="276" w:lineRule="auto"/>
            </w:pPr>
            <w:r>
              <w:t>- Structures/mechanisms for implementation and enforcement of legislation, policies, or action plans are not (yet) put in place or are functioning poorly</w:t>
            </w:r>
          </w:p>
        </w:tc>
      </w:tr>
      <w:tr w:rsidR="000A7E4A">
        <w:tc>
          <w:tcPr>
            <w:tcW w:w="981" w:type="dxa"/>
            <w:tcMar>
              <w:left w:w="103" w:type="dxa"/>
            </w:tcMar>
          </w:tcPr>
          <w:p w:rsidR="000A7E4A" w:rsidRDefault="0029199E">
            <w:pPr>
              <w:spacing w:line="276" w:lineRule="auto"/>
            </w:pPr>
            <w:r>
              <w:t>Level 7</w:t>
            </w:r>
          </w:p>
        </w:tc>
        <w:tc>
          <w:tcPr>
            <w:tcW w:w="2402" w:type="dxa"/>
            <w:tcMar>
              <w:left w:w="103" w:type="dxa"/>
            </w:tcMar>
          </w:tcPr>
          <w:p w:rsidR="000A7E4A" w:rsidRDefault="0029199E">
            <w:pPr>
              <w:spacing w:line="276" w:lineRule="auto"/>
              <w:rPr>
                <w:b/>
              </w:rPr>
            </w:pPr>
            <w:r>
              <w:rPr>
                <w:b/>
              </w:rPr>
              <w:t xml:space="preserve">Developed/improved laws, policies, guidelines or action plans are implemented to a moderate/fair extent </w:t>
            </w:r>
          </w:p>
        </w:tc>
        <w:tc>
          <w:tcPr>
            <w:tcW w:w="6540" w:type="dxa"/>
            <w:tcMar>
              <w:left w:w="103" w:type="dxa"/>
            </w:tcMar>
          </w:tcPr>
          <w:p w:rsidR="000A7E4A" w:rsidRDefault="0029199E">
            <w:pPr>
              <w:spacing w:line="276" w:lineRule="auto"/>
            </w:pPr>
            <w:r>
              <w:t>- Governments/companies have implemented the laws, policies, guidelines or action plans to a moderate extent</w:t>
            </w:r>
          </w:p>
          <w:p w:rsidR="000A7E4A" w:rsidRDefault="0029199E">
            <w:pPr>
              <w:spacing w:line="276" w:lineRule="auto"/>
            </w:pPr>
            <w:r>
              <w:t>- Moderate (increased) investment (budget, human resources, technical capacity) for implementation of legislation, policies, guidelines or action plans</w:t>
            </w:r>
          </w:p>
          <w:p w:rsidR="000A7E4A" w:rsidRDefault="0029199E">
            <w:pPr>
              <w:spacing w:line="276" w:lineRule="auto"/>
            </w:pPr>
            <w:r>
              <w:t>- Structures/mechanisms for implementation and enforcement of legislation, policies, or action plans are put in place and functioning to a moderate extent</w:t>
            </w:r>
          </w:p>
        </w:tc>
      </w:tr>
      <w:tr w:rsidR="000A7E4A">
        <w:tc>
          <w:tcPr>
            <w:tcW w:w="981" w:type="dxa"/>
            <w:tcMar>
              <w:left w:w="103" w:type="dxa"/>
            </w:tcMar>
          </w:tcPr>
          <w:p w:rsidR="000A7E4A" w:rsidRDefault="0029199E">
            <w:pPr>
              <w:spacing w:line="276" w:lineRule="auto"/>
            </w:pPr>
            <w:r>
              <w:t>Level 8</w:t>
            </w:r>
          </w:p>
        </w:tc>
        <w:tc>
          <w:tcPr>
            <w:tcW w:w="2402" w:type="dxa"/>
            <w:tcMar>
              <w:left w:w="103" w:type="dxa"/>
            </w:tcMar>
          </w:tcPr>
          <w:p w:rsidR="000A7E4A" w:rsidRDefault="0029199E">
            <w:pPr>
              <w:spacing w:line="276" w:lineRule="auto"/>
              <w:rPr>
                <w:b/>
              </w:rPr>
            </w:pPr>
            <w:r>
              <w:rPr>
                <w:b/>
              </w:rPr>
              <w:t>Developed/improved laws, policies, guidelines or action plans are implemented to a satisfactory extent</w:t>
            </w:r>
          </w:p>
          <w:p w:rsidR="000A7E4A" w:rsidRDefault="000A7E4A">
            <w:pPr>
              <w:spacing w:line="276" w:lineRule="auto"/>
              <w:rPr>
                <w:b/>
              </w:rPr>
            </w:pPr>
          </w:p>
        </w:tc>
        <w:tc>
          <w:tcPr>
            <w:tcW w:w="6540" w:type="dxa"/>
            <w:tcMar>
              <w:left w:w="103" w:type="dxa"/>
            </w:tcMar>
          </w:tcPr>
          <w:p w:rsidR="000A7E4A" w:rsidRDefault="0029199E">
            <w:pPr>
              <w:spacing w:line="276" w:lineRule="auto"/>
            </w:pPr>
            <w:r>
              <w:t xml:space="preserve"> - Governments/companies have implemented the laws, policies, guidelines or action plans to a satisfactory extent</w:t>
            </w:r>
          </w:p>
          <w:p w:rsidR="000A7E4A" w:rsidRDefault="0029199E">
            <w:pPr>
              <w:spacing w:line="276" w:lineRule="auto"/>
            </w:pPr>
            <w:r>
              <w:t>- Significant (increased) investment (budget, human resources, technical capacity) for implementation of legislation, policies, guidelines or action plans</w:t>
            </w:r>
          </w:p>
          <w:p w:rsidR="000A7E4A" w:rsidRDefault="0029199E">
            <w:pPr>
              <w:spacing w:line="276" w:lineRule="auto"/>
            </w:pPr>
            <w:r>
              <w:t xml:space="preserve">- Structures/mechanisms for implementation and enforcement of legislation, policies, or action plans are put in place and are reasonably well functioning </w:t>
            </w:r>
          </w:p>
        </w:tc>
      </w:tr>
    </w:tbl>
    <w:p w:rsidR="000A7E4A" w:rsidRDefault="000A7E4A">
      <w:pPr>
        <w:spacing w:line="276" w:lineRule="auto"/>
        <w:rPr>
          <w:sz w:val="20"/>
          <w:szCs w:val="20"/>
        </w:rPr>
      </w:pPr>
    </w:p>
    <w:p w:rsidR="000A7E4A" w:rsidRDefault="0029199E">
      <w:pPr>
        <w:spacing w:after="160"/>
        <w:rPr>
          <w:b/>
          <w:sz w:val="32"/>
          <w:szCs w:val="32"/>
        </w:rPr>
      </w:pPr>
      <w:r>
        <w:br w:type="page"/>
      </w:r>
    </w:p>
    <w:p w:rsidR="000A7E4A" w:rsidRDefault="0029199E">
      <w:pPr>
        <w:pStyle w:val="Ttulo1"/>
      </w:pPr>
      <w:r>
        <w:t>Annex IIb: Civil Actor Participation (CAP) tool</w:t>
      </w:r>
    </w:p>
    <w:p w:rsidR="000A7E4A" w:rsidRDefault="0029199E">
      <w:pPr>
        <w:spacing w:line="276" w:lineRule="auto"/>
        <w:rPr>
          <w:sz w:val="20"/>
          <w:szCs w:val="20"/>
        </w:rPr>
      </w:pPr>
      <w:r>
        <w:rPr>
          <w:sz w:val="20"/>
          <w:szCs w:val="20"/>
        </w:rPr>
        <w:t>The CAP tool has a scale of six levels. Based on the kind of objectives and activities of WL the following two aspects are included in the different levels of the tool. These levels have been indicated with different colors. Make sure to adapt the description of the level to the content of the expected or harvested outcome you assess:</w:t>
      </w:r>
    </w:p>
    <w:p w:rsidR="000A7E4A" w:rsidRDefault="0029199E">
      <w:pPr>
        <w:numPr>
          <w:ilvl w:val="0"/>
          <w:numId w:val="4"/>
        </w:numPr>
        <w:pBdr>
          <w:top w:val="nil"/>
          <w:left w:val="nil"/>
          <w:bottom w:val="nil"/>
          <w:right w:val="nil"/>
          <w:between w:val="nil"/>
        </w:pBdr>
        <w:spacing w:line="276" w:lineRule="auto"/>
        <w:rPr>
          <w:color w:val="00000A"/>
          <w:sz w:val="20"/>
          <w:szCs w:val="20"/>
        </w:rPr>
      </w:pPr>
      <w:r>
        <w:rPr>
          <w:color w:val="00000A"/>
          <w:sz w:val="20"/>
          <w:szCs w:val="20"/>
          <w:u w:val="single"/>
        </w:rPr>
        <w:t xml:space="preserve">The level of </w:t>
      </w:r>
      <w:r>
        <w:rPr>
          <w:b/>
          <w:color w:val="00000A"/>
          <w:sz w:val="20"/>
          <w:szCs w:val="20"/>
          <w:u w:val="single"/>
        </w:rPr>
        <w:t xml:space="preserve">active and legitimate </w:t>
      </w:r>
      <w:r>
        <w:rPr>
          <w:b/>
          <w:color w:val="000000"/>
          <w:sz w:val="20"/>
          <w:szCs w:val="20"/>
          <w:u w:val="single"/>
        </w:rPr>
        <w:t>influence and participation (‘inclusion’</w:t>
      </w:r>
      <w:r>
        <w:rPr>
          <w:b/>
          <w:color w:val="000000"/>
          <w:sz w:val="20"/>
          <w:szCs w:val="20"/>
        </w:rPr>
        <w:t xml:space="preserve">) </w:t>
      </w:r>
      <w:r>
        <w:rPr>
          <w:b/>
          <w:color w:val="00000A"/>
          <w:sz w:val="20"/>
          <w:szCs w:val="20"/>
        </w:rPr>
        <w:t>of civil actors</w:t>
      </w:r>
      <w:r>
        <w:rPr>
          <w:color w:val="00000A"/>
          <w:sz w:val="20"/>
          <w:szCs w:val="20"/>
        </w:rPr>
        <w:t xml:space="preserve"> in decision making or key processes concerning: </w:t>
      </w:r>
    </w:p>
    <w:p w:rsidR="000A7E4A" w:rsidRDefault="0029199E">
      <w:pPr>
        <w:numPr>
          <w:ilvl w:val="0"/>
          <w:numId w:val="9"/>
        </w:numPr>
        <w:pBdr>
          <w:top w:val="nil"/>
          <w:left w:val="nil"/>
          <w:bottom w:val="nil"/>
          <w:right w:val="nil"/>
          <w:between w:val="nil"/>
        </w:pBdr>
        <w:spacing w:line="276" w:lineRule="auto"/>
        <w:rPr>
          <w:color w:val="00000A"/>
          <w:sz w:val="20"/>
          <w:szCs w:val="20"/>
        </w:rPr>
      </w:pPr>
      <w:r>
        <w:rPr>
          <w:color w:val="00000A"/>
          <w:sz w:val="20"/>
          <w:szCs w:val="20"/>
        </w:rPr>
        <w:t xml:space="preserve">governance of forested landscapes; </w:t>
      </w:r>
    </w:p>
    <w:p w:rsidR="000A7E4A" w:rsidRDefault="0029199E">
      <w:pPr>
        <w:numPr>
          <w:ilvl w:val="0"/>
          <w:numId w:val="9"/>
        </w:numPr>
        <w:pBdr>
          <w:top w:val="nil"/>
          <w:left w:val="nil"/>
          <w:bottom w:val="nil"/>
          <w:right w:val="nil"/>
          <w:between w:val="nil"/>
        </w:pBdr>
        <w:spacing w:line="276" w:lineRule="auto"/>
        <w:rPr>
          <w:color w:val="00000A"/>
          <w:sz w:val="20"/>
          <w:szCs w:val="20"/>
        </w:rPr>
      </w:pPr>
      <w:r>
        <w:rPr>
          <w:color w:val="00000A"/>
          <w:sz w:val="20"/>
          <w:szCs w:val="20"/>
        </w:rPr>
        <w:t>access to land and resources (use and tenure rights)</w:t>
      </w:r>
    </w:p>
    <w:p w:rsidR="000A7E4A" w:rsidRDefault="0029199E">
      <w:pPr>
        <w:numPr>
          <w:ilvl w:val="0"/>
          <w:numId w:val="9"/>
        </w:numPr>
        <w:pBdr>
          <w:top w:val="nil"/>
          <w:left w:val="nil"/>
          <w:bottom w:val="nil"/>
          <w:right w:val="nil"/>
          <w:between w:val="nil"/>
        </w:pBdr>
        <w:spacing w:line="276" w:lineRule="auto"/>
        <w:rPr>
          <w:color w:val="00000A"/>
          <w:sz w:val="20"/>
          <w:szCs w:val="20"/>
        </w:rPr>
      </w:pPr>
      <w:r>
        <w:rPr>
          <w:color w:val="00000A"/>
          <w:sz w:val="20"/>
          <w:szCs w:val="20"/>
        </w:rPr>
        <w:t>applying nature based sustainable practices</w:t>
      </w:r>
    </w:p>
    <w:p w:rsidR="000A7E4A" w:rsidRDefault="0029199E">
      <w:pPr>
        <w:numPr>
          <w:ilvl w:val="0"/>
          <w:numId w:val="4"/>
        </w:numPr>
        <w:pBdr>
          <w:top w:val="nil"/>
          <w:left w:val="nil"/>
          <w:bottom w:val="nil"/>
          <w:right w:val="nil"/>
          <w:between w:val="nil"/>
        </w:pBdr>
        <w:spacing w:line="276" w:lineRule="auto"/>
        <w:rPr>
          <w:i/>
          <w:color w:val="0070C0"/>
          <w:sz w:val="20"/>
          <w:szCs w:val="20"/>
        </w:rPr>
      </w:pPr>
      <w:r>
        <w:rPr>
          <w:i/>
          <w:color w:val="0070C0"/>
          <w:sz w:val="20"/>
          <w:szCs w:val="20"/>
          <w:u w:val="single"/>
        </w:rPr>
        <w:t xml:space="preserve">The extent to which </w:t>
      </w:r>
      <w:r>
        <w:rPr>
          <w:b/>
          <w:i/>
          <w:color w:val="0070C0"/>
          <w:sz w:val="20"/>
          <w:szCs w:val="20"/>
          <w:u w:val="single"/>
        </w:rPr>
        <w:t>civil actors have the capacity</w:t>
      </w:r>
      <w:r>
        <w:rPr>
          <w:i/>
          <w:color w:val="0070C0"/>
          <w:sz w:val="20"/>
          <w:szCs w:val="20"/>
        </w:rPr>
        <w:t xml:space="preserve"> to exert meaningful influence, to participate and/or have access to resources (e.g. information, training, finance).</w:t>
      </w:r>
    </w:p>
    <w:p w:rsidR="000A7E4A" w:rsidRDefault="000A7E4A">
      <w:pPr>
        <w:spacing w:line="276" w:lineRule="auto"/>
        <w:rPr>
          <w:sz w:val="20"/>
          <w:szCs w:val="20"/>
        </w:rPr>
      </w:pPr>
    </w:p>
    <w:p w:rsidR="000A7E4A" w:rsidRDefault="0029199E">
      <w:pPr>
        <w:spacing w:after="120" w:line="276" w:lineRule="auto"/>
        <w:rPr>
          <w:u w:val="single"/>
        </w:rPr>
      </w:pPr>
      <w:r>
        <w:rPr>
          <w:u w:val="single"/>
        </w:rPr>
        <w:t>The Civil Actor Participation Tool</w:t>
      </w:r>
    </w:p>
    <w:tbl>
      <w:tblPr>
        <w:tblStyle w:val="af1"/>
        <w:tblW w:w="1045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47"/>
        <w:gridCol w:w="2520"/>
        <w:gridCol w:w="7089"/>
      </w:tblGrid>
      <w:tr w:rsidR="000A7E4A">
        <w:tc>
          <w:tcPr>
            <w:tcW w:w="847" w:type="dxa"/>
            <w:shd w:val="clear" w:color="auto" w:fill="E7E6E6"/>
            <w:tcMar>
              <w:left w:w="103" w:type="dxa"/>
            </w:tcMar>
          </w:tcPr>
          <w:p w:rsidR="000A7E4A" w:rsidRDefault="0029199E">
            <w:pPr>
              <w:rPr>
                <w:b/>
              </w:rPr>
            </w:pPr>
            <w:r>
              <w:rPr>
                <w:b/>
              </w:rPr>
              <w:t>Level</w:t>
            </w:r>
          </w:p>
        </w:tc>
        <w:tc>
          <w:tcPr>
            <w:tcW w:w="2520" w:type="dxa"/>
            <w:shd w:val="clear" w:color="auto" w:fill="E7E6E6"/>
            <w:tcMar>
              <w:left w:w="103" w:type="dxa"/>
            </w:tcMar>
          </w:tcPr>
          <w:p w:rsidR="000A7E4A" w:rsidRDefault="0029199E">
            <w:pPr>
              <w:rPr>
                <w:b/>
              </w:rPr>
            </w:pPr>
            <w:r>
              <w:rPr>
                <w:b/>
              </w:rPr>
              <w:t>Description of level</w:t>
            </w:r>
          </w:p>
        </w:tc>
        <w:tc>
          <w:tcPr>
            <w:tcW w:w="7089" w:type="dxa"/>
            <w:shd w:val="clear" w:color="auto" w:fill="E7E6E6"/>
            <w:tcMar>
              <w:left w:w="103" w:type="dxa"/>
            </w:tcMar>
          </w:tcPr>
          <w:p w:rsidR="000A7E4A" w:rsidRDefault="0029199E">
            <w:pPr>
              <w:rPr>
                <w:b/>
              </w:rPr>
            </w:pPr>
            <w:r>
              <w:rPr>
                <w:b/>
              </w:rPr>
              <w:t xml:space="preserve">Generic examples </w:t>
            </w:r>
          </w:p>
        </w:tc>
      </w:tr>
      <w:tr w:rsidR="000A7E4A">
        <w:trPr>
          <w:trHeight w:val="500"/>
        </w:trPr>
        <w:tc>
          <w:tcPr>
            <w:tcW w:w="847" w:type="dxa"/>
            <w:tcMar>
              <w:left w:w="103" w:type="dxa"/>
            </w:tcMar>
            <w:vAlign w:val="center"/>
          </w:tcPr>
          <w:p w:rsidR="000A7E4A" w:rsidRDefault="0029199E">
            <w:r>
              <w:t>Level 1</w:t>
            </w:r>
          </w:p>
          <w:p w:rsidR="000A7E4A" w:rsidRDefault="000A7E4A"/>
        </w:tc>
        <w:tc>
          <w:tcPr>
            <w:tcW w:w="2520" w:type="dxa"/>
            <w:tcMar>
              <w:left w:w="103" w:type="dxa"/>
            </w:tcMar>
          </w:tcPr>
          <w:p w:rsidR="000A7E4A" w:rsidRDefault="0029199E">
            <w:pPr>
              <w:rPr>
                <w:b/>
              </w:rPr>
            </w:pPr>
            <w:r>
              <w:rPr>
                <w:b/>
              </w:rPr>
              <w:t>No participation:</w:t>
            </w:r>
          </w:p>
          <w:p w:rsidR="000A7E4A" w:rsidRDefault="0029199E">
            <w:r>
              <w:t xml:space="preserve">- No meaningful participation or influence of civil actors in decision making or processes concerning forested landscape governance. </w:t>
            </w:r>
          </w:p>
          <w:p w:rsidR="000A7E4A" w:rsidRDefault="0029199E">
            <w:pPr>
              <w:rPr>
                <w:i/>
                <w:color w:val="0070C0"/>
              </w:rPr>
            </w:pPr>
            <w:r>
              <w:rPr>
                <w:i/>
                <w:color w:val="0070C0"/>
              </w:rPr>
              <w:t xml:space="preserve">- Civil actor have no awareness and/or capacity or means to exert influence. </w:t>
            </w:r>
          </w:p>
          <w:p w:rsidR="000A7E4A" w:rsidRDefault="000A7E4A"/>
          <w:p w:rsidR="000A7E4A" w:rsidRDefault="000A7E4A"/>
        </w:tc>
        <w:tc>
          <w:tcPr>
            <w:tcW w:w="7089" w:type="dxa"/>
            <w:tcMar>
              <w:left w:w="103" w:type="dxa"/>
            </w:tcMar>
          </w:tcPr>
          <w:p w:rsidR="000A7E4A" w:rsidRDefault="0029199E">
            <w:pPr>
              <w:numPr>
                <w:ilvl w:val="0"/>
                <w:numId w:val="1"/>
              </w:numPr>
              <w:pBdr>
                <w:top w:val="nil"/>
                <w:left w:val="nil"/>
                <w:bottom w:val="nil"/>
                <w:right w:val="nil"/>
                <w:between w:val="nil"/>
              </w:pBdr>
              <w:spacing w:line="259" w:lineRule="auto"/>
              <w:rPr>
                <w:color w:val="00000A"/>
                <w:sz w:val="22"/>
                <w:szCs w:val="22"/>
              </w:rPr>
            </w:pPr>
            <w:r>
              <w:rPr>
                <w:color w:val="00000A"/>
                <w:sz w:val="22"/>
                <w:szCs w:val="22"/>
              </w:rPr>
              <w:t>Public or private sector actors do as they like without showing any attention for the interests of, or the consequences for civil actors. Sometimes they are withholding information or giving misleading information; denying dangers/risks; dismissing critics; and/or disregarding differences of opinion</w:t>
            </w:r>
          </w:p>
          <w:p w:rsidR="000A7E4A" w:rsidRDefault="0029199E">
            <w:pPr>
              <w:numPr>
                <w:ilvl w:val="0"/>
                <w:numId w:val="1"/>
              </w:numPr>
              <w:pBdr>
                <w:top w:val="nil"/>
                <w:left w:val="nil"/>
                <w:bottom w:val="nil"/>
                <w:right w:val="nil"/>
                <w:between w:val="nil"/>
              </w:pBdr>
              <w:spacing w:line="259" w:lineRule="auto"/>
              <w:rPr>
                <w:color w:val="00000A"/>
                <w:sz w:val="22"/>
                <w:szCs w:val="22"/>
              </w:rPr>
            </w:pPr>
            <w:r>
              <w:rPr>
                <w:color w:val="00000A"/>
                <w:sz w:val="22"/>
                <w:szCs w:val="22"/>
              </w:rPr>
              <w:t>Public or private actors urge civil actors to change their behaviour, e.g. illegal logging, poaching, mining, etc. without being prepared to discuss solutions in which they have to make commitments themselves</w:t>
            </w:r>
          </w:p>
          <w:p w:rsidR="000A7E4A" w:rsidRDefault="0029199E">
            <w:pPr>
              <w:numPr>
                <w:ilvl w:val="0"/>
                <w:numId w:val="1"/>
              </w:numPr>
              <w:pBdr>
                <w:top w:val="nil"/>
                <w:left w:val="nil"/>
                <w:bottom w:val="nil"/>
                <w:right w:val="nil"/>
                <w:between w:val="nil"/>
              </w:pBdr>
              <w:spacing w:line="259" w:lineRule="auto"/>
              <w:rPr>
                <w:color w:val="00000A"/>
                <w:sz w:val="22"/>
                <w:szCs w:val="22"/>
              </w:rPr>
            </w:pPr>
            <w:r>
              <w:rPr>
                <w:color w:val="00000A"/>
                <w:sz w:val="22"/>
                <w:szCs w:val="22"/>
              </w:rPr>
              <w:t>Civil actors are directed (‘manipulated’) by public or private actors to agree with certain decisions without being properly informed about the issue, purpose or consequences. E.g.: local elected or traditional leaders agree to allocate communal land to a private company because of misleading information or a short term gain</w:t>
            </w:r>
          </w:p>
          <w:p w:rsidR="000A7E4A" w:rsidRDefault="0029199E">
            <w:pPr>
              <w:numPr>
                <w:ilvl w:val="0"/>
                <w:numId w:val="1"/>
              </w:numPr>
              <w:pBdr>
                <w:top w:val="nil"/>
                <w:left w:val="nil"/>
                <w:bottom w:val="nil"/>
                <w:right w:val="nil"/>
                <w:between w:val="nil"/>
              </w:pBdr>
              <w:spacing w:line="259" w:lineRule="auto"/>
              <w:rPr>
                <w:color w:val="00000A"/>
                <w:sz w:val="22"/>
                <w:szCs w:val="22"/>
              </w:rPr>
            </w:pPr>
            <w:r>
              <w:rPr>
                <w:color w:val="00000A"/>
                <w:sz w:val="22"/>
                <w:szCs w:val="22"/>
              </w:rPr>
              <w:t>Civil actors are involved in implementing initiatives of public or private actors but have no influence on the activities/decisions and are not (made) aware of their rights, or how activities/decisions may affect them (participation for ‘decoration/show’)</w:t>
            </w:r>
          </w:p>
          <w:p w:rsidR="000A7E4A" w:rsidRDefault="0029199E">
            <w:pPr>
              <w:numPr>
                <w:ilvl w:val="0"/>
                <w:numId w:val="1"/>
              </w:numPr>
              <w:pBdr>
                <w:top w:val="nil"/>
                <w:left w:val="nil"/>
                <w:bottom w:val="nil"/>
                <w:right w:val="nil"/>
                <w:between w:val="nil"/>
              </w:pBdr>
              <w:spacing w:line="259" w:lineRule="auto"/>
              <w:rPr>
                <w:i/>
                <w:color w:val="00000A"/>
                <w:sz w:val="22"/>
                <w:szCs w:val="22"/>
              </w:rPr>
            </w:pPr>
            <w:r>
              <w:rPr>
                <w:i/>
                <w:color w:val="0070C0"/>
                <w:sz w:val="22"/>
                <w:szCs w:val="22"/>
              </w:rPr>
              <w:t>Farmer associations are not aware of the need for applying nature based sustainable practices, e.g. agroforestry, ‘climate smart agriculture’ (CSA), etc</w:t>
            </w:r>
            <w:r>
              <w:rPr>
                <w:i/>
                <w:color w:val="00000A"/>
                <w:sz w:val="22"/>
                <w:szCs w:val="22"/>
              </w:rPr>
              <w:t>.</w:t>
            </w:r>
          </w:p>
        </w:tc>
      </w:tr>
      <w:tr w:rsidR="000A7E4A">
        <w:trPr>
          <w:trHeight w:val="280"/>
        </w:trPr>
        <w:tc>
          <w:tcPr>
            <w:tcW w:w="847" w:type="dxa"/>
            <w:tcMar>
              <w:left w:w="103" w:type="dxa"/>
            </w:tcMar>
            <w:vAlign w:val="center"/>
          </w:tcPr>
          <w:p w:rsidR="000A7E4A" w:rsidRDefault="0029199E">
            <w:r>
              <w:t>Level 2</w:t>
            </w:r>
          </w:p>
        </w:tc>
        <w:tc>
          <w:tcPr>
            <w:tcW w:w="2520" w:type="dxa"/>
            <w:shd w:val="clear" w:color="auto" w:fill="auto"/>
            <w:tcMar>
              <w:left w:w="103" w:type="dxa"/>
            </w:tcMar>
          </w:tcPr>
          <w:p w:rsidR="000A7E4A" w:rsidRDefault="0029199E">
            <w:r>
              <w:rPr>
                <w:b/>
              </w:rPr>
              <w:t>Passive participation:</w:t>
            </w:r>
            <w:r>
              <w:t xml:space="preserve"> </w:t>
            </w:r>
          </w:p>
          <w:p w:rsidR="000A7E4A" w:rsidRDefault="0029199E">
            <w:r>
              <w:t xml:space="preserve">- Civil actors are informed/ aware, but they have no influence on decisions or processes concerning forested landscape governance. </w:t>
            </w:r>
          </w:p>
          <w:p w:rsidR="000A7E4A" w:rsidRDefault="0029199E">
            <w:pPr>
              <w:rPr>
                <w:i/>
                <w:color w:val="0070C0"/>
              </w:rPr>
            </w:pPr>
            <w:r>
              <w:rPr>
                <w:i/>
                <w:color w:val="0070C0"/>
              </w:rPr>
              <w:t>- Very limited capacity to influence/participate</w:t>
            </w:r>
          </w:p>
        </w:tc>
        <w:tc>
          <w:tcPr>
            <w:tcW w:w="7089" w:type="dxa"/>
            <w:shd w:val="clear" w:color="auto" w:fill="auto"/>
            <w:tcMar>
              <w:left w:w="103" w:type="dxa"/>
            </w:tcMar>
          </w:tcPr>
          <w:p w:rsidR="000A7E4A" w:rsidRDefault="0029199E">
            <w:pPr>
              <w:numPr>
                <w:ilvl w:val="0"/>
                <w:numId w:val="5"/>
              </w:numPr>
              <w:pBdr>
                <w:top w:val="nil"/>
                <w:left w:val="nil"/>
                <w:bottom w:val="nil"/>
                <w:right w:val="nil"/>
                <w:between w:val="nil"/>
              </w:pBdr>
              <w:spacing w:line="259" w:lineRule="auto"/>
              <w:rPr>
                <w:color w:val="00000A"/>
                <w:sz w:val="22"/>
                <w:szCs w:val="22"/>
              </w:rPr>
            </w:pPr>
            <w:r>
              <w:rPr>
                <w:color w:val="00000A"/>
                <w:sz w:val="22"/>
                <w:szCs w:val="22"/>
              </w:rPr>
              <w:t>Civil actors are informed about actions or changes and how it might affect them, but their views are not actively sought. E.g.: information meeting about the allocation of land to a palm oil company</w:t>
            </w:r>
          </w:p>
          <w:p w:rsidR="000A7E4A" w:rsidRDefault="0029199E">
            <w:pPr>
              <w:numPr>
                <w:ilvl w:val="0"/>
                <w:numId w:val="5"/>
              </w:numPr>
              <w:pBdr>
                <w:top w:val="nil"/>
                <w:left w:val="nil"/>
                <w:bottom w:val="nil"/>
                <w:right w:val="nil"/>
                <w:between w:val="nil"/>
              </w:pBdr>
              <w:spacing w:line="259" w:lineRule="auto"/>
              <w:rPr>
                <w:i/>
                <w:color w:val="00000A"/>
                <w:sz w:val="22"/>
                <w:szCs w:val="22"/>
              </w:rPr>
            </w:pPr>
            <w:r>
              <w:rPr>
                <w:color w:val="00000A"/>
                <w:sz w:val="22"/>
                <w:szCs w:val="22"/>
              </w:rPr>
              <w:t>Village level civil actors or community based organisation (CBOs) are informed about, but not involved in natural resources governance issues</w:t>
            </w:r>
          </w:p>
          <w:p w:rsidR="000A7E4A" w:rsidRDefault="0029199E">
            <w:pPr>
              <w:numPr>
                <w:ilvl w:val="0"/>
                <w:numId w:val="5"/>
              </w:numPr>
              <w:pBdr>
                <w:top w:val="nil"/>
                <w:left w:val="nil"/>
                <w:bottom w:val="nil"/>
                <w:right w:val="nil"/>
                <w:between w:val="nil"/>
              </w:pBdr>
              <w:spacing w:line="259" w:lineRule="auto"/>
              <w:rPr>
                <w:i/>
                <w:color w:val="0070C0"/>
                <w:sz w:val="22"/>
                <w:szCs w:val="22"/>
              </w:rPr>
            </w:pPr>
            <w:r>
              <w:rPr>
                <w:i/>
                <w:color w:val="0070C0"/>
                <w:sz w:val="22"/>
                <w:szCs w:val="22"/>
              </w:rPr>
              <w:t>Farmers associations are aware of the need for nature based sustainable practices, but lack the capacity to apply it</w:t>
            </w:r>
          </w:p>
          <w:p w:rsidR="000A7E4A" w:rsidRDefault="0029199E">
            <w:pPr>
              <w:numPr>
                <w:ilvl w:val="0"/>
                <w:numId w:val="5"/>
              </w:numPr>
              <w:pBdr>
                <w:top w:val="nil"/>
                <w:left w:val="nil"/>
                <w:bottom w:val="nil"/>
                <w:right w:val="nil"/>
                <w:between w:val="nil"/>
              </w:pBdr>
              <w:spacing w:line="259" w:lineRule="auto"/>
              <w:rPr>
                <w:i/>
                <w:color w:val="0070C0"/>
                <w:sz w:val="22"/>
                <w:szCs w:val="22"/>
              </w:rPr>
            </w:pPr>
            <w:r>
              <w:rPr>
                <w:i/>
                <w:color w:val="0070C0"/>
                <w:sz w:val="22"/>
                <w:szCs w:val="22"/>
              </w:rPr>
              <w:t>Civil actors are aware of legislation about civil actor participation in spatial planning but they do not have the capacity to act on it</w:t>
            </w:r>
          </w:p>
        </w:tc>
      </w:tr>
      <w:tr w:rsidR="000A7E4A">
        <w:trPr>
          <w:trHeight w:val="280"/>
        </w:trPr>
        <w:tc>
          <w:tcPr>
            <w:tcW w:w="847" w:type="dxa"/>
            <w:tcMar>
              <w:left w:w="103" w:type="dxa"/>
            </w:tcMar>
          </w:tcPr>
          <w:p w:rsidR="000A7E4A" w:rsidRDefault="0029199E">
            <w:r>
              <w:t>Level 3</w:t>
            </w:r>
          </w:p>
        </w:tc>
        <w:tc>
          <w:tcPr>
            <w:tcW w:w="2520" w:type="dxa"/>
            <w:tcMar>
              <w:left w:w="103" w:type="dxa"/>
            </w:tcMar>
          </w:tcPr>
          <w:p w:rsidR="000A7E4A" w:rsidRDefault="0029199E">
            <w:r>
              <w:rPr>
                <w:b/>
              </w:rPr>
              <w:t>Limited form of influence/participation:</w:t>
            </w:r>
            <w:r>
              <w:t xml:space="preserve"> </w:t>
            </w:r>
          </w:p>
          <w:p w:rsidR="000A7E4A" w:rsidRDefault="0029199E">
            <w:r>
              <w:t xml:space="preserve">- Civil actors have limited influence on decisions or processes concerning forested landscape governance. </w:t>
            </w:r>
          </w:p>
          <w:p w:rsidR="000A7E4A" w:rsidRDefault="0029199E">
            <w:pPr>
              <w:rPr>
                <w:i/>
                <w:color w:val="0070C0"/>
              </w:rPr>
            </w:pPr>
            <w:r>
              <w:rPr>
                <w:i/>
                <w:color w:val="0070C0"/>
              </w:rPr>
              <w:t>- Civil actors have some, but not sufficient capacity</w:t>
            </w:r>
            <w:r>
              <w:rPr>
                <w:color w:val="0070C0"/>
              </w:rPr>
              <w:t xml:space="preserve"> </w:t>
            </w:r>
            <w:r>
              <w:rPr>
                <w:i/>
                <w:color w:val="0070C0"/>
              </w:rPr>
              <w:t>to influence/ participate</w:t>
            </w:r>
          </w:p>
        </w:tc>
        <w:tc>
          <w:tcPr>
            <w:tcW w:w="7089" w:type="dxa"/>
            <w:tcMar>
              <w:left w:w="103" w:type="dxa"/>
            </w:tcMar>
          </w:tcPr>
          <w:p w:rsidR="000A7E4A" w:rsidRDefault="0029199E">
            <w:pPr>
              <w:numPr>
                <w:ilvl w:val="0"/>
                <w:numId w:val="5"/>
              </w:numPr>
              <w:pBdr>
                <w:top w:val="nil"/>
                <w:left w:val="nil"/>
                <w:bottom w:val="nil"/>
                <w:right w:val="nil"/>
                <w:between w:val="nil"/>
              </w:pBdr>
              <w:spacing w:line="259" w:lineRule="auto"/>
              <w:rPr>
                <w:color w:val="00000A"/>
                <w:sz w:val="22"/>
                <w:szCs w:val="22"/>
              </w:rPr>
            </w:pPr>
            <w:r>
              <w:rPr>
                <w:color w:val="00000A"/>
                <w:sz w:val="22"/>
                <w:szCs w:val="22"/>
              </w:rPr>
              <w:t>Civil actors are informed and encouraged to express their opinions and ideas, but the decisions are taken by the consulting (public or private) actors. E.g.: public surveys; public comment procedures; community /neighbourhood meetings, etc.</w:t>
            </w:r>
          </w:p>
          <w:p w:rsidR="000A7E4A" w:rsidRDefault="0029199E">
            <w:pPr>
              <w:numPr>
                <w:ilvl w:val="0"/>
                <w:numId w:val="5"/>
              </w:numPr>
              <w:pBdr>
                <w:top w:val="nil"/>
                <w:left w:val="nil"/>
                <w:bottom w:val="nil"/>
                <w:right w:val="nil"/>
                <w:between w:val="nil"/>
              </w:pBdr>
              <w:spacing w:line="259" w:lineRule="auto"/>
              <w:rPr>
                <w:i/>
                <w:color w:val="0070C0"/>
                <w:sz w:val="22"/>
                <w:szCs w:val="22"/>
              </w:rPr>
            </w:pPr>
            <w:r>
              <w:rPr>
                <w:i/>
                <w:color w:val="0070C0"/>
                <w:sz w:val="22"/>
                <w:szCs w:val="22"/>
              </w:rPr>
              <w:t>Community CSOs have some but not  enough capacity for High Conservation Values (HCV) areas assessments and management</w:t>
            </w:r>
          </w:p>
          <w:p w:rsidR="000A7E4A" w:rsidRDefault="0029199E">
            <w:pPr>
              <w:numPr>
                <w:ilvl w:val="0"/>
                <w:numId w:val="5"/>
              </w:numPr>
              <w:pBdr>
                <w:top w:val="nil"/>
                <w:left w:val="nil"/>
                <w:bottom w:val="nil"/>
                <w:right w:val="nil"/>
                <w:between w:val="nil"/>
              </w:pBdr>
              <w:spacing w:line="259" w:lineRule="auto"/>
              <w:rPr>
                <w:i/>
                <w:color w:val="0070C0"/>
                <w:sz w:val="22"/>
                <w:szCs w:val="22"/>
              </w:rPr>
            </w:pPr>
            <w:r>
              <w:rPr>
                <w:i/>
                <w:color w:val="0070C0"/>
                <w:sz w:val="22"/>
                <w:szCs w:val="22"/>
              </w:rPr>
              <w:t>Civil actors, e.g. women or youth, organised themselves but do not have  enough capacity to conduct L&amp;A to the government for their issues</w:t>
            </w:r>
          </w:p>
        </w:tc>
      </w:tr>
      <w:tr w:rsidR="000A7E4A">
        <w:trPr>
          <w:trHeight w:val="280"/>
        </w:trPr>
        <w:tc>
          <w:tcPr>
            <w:tcW w:w="847" w:type="dxa"/>
            <w:tcMar>
              <w:left w:w="103" w:type="dxa"/>
            </w:tcMar>
          </w:tcPr>
          <w:p w:rsidR="000A7E4A" w:rsidRDefault="0029199E">
            <w:r>
              <w:t>Level 4</w:t>
            </w:r>
          </w:p>
        </w:tc>
        <w:tc>
          <w:tcPr>
            <w:tcW w:w="2520" w:type="dxa"/>
            <w:tcMar>
              <w:left w:w="103" w:type="dxa"/>
            </w:tcMar>
          </w:tcPr>
          <w:p w:rsidR="000A7E4A" w:rsidRDefault="0029199E">
            <w:r>
              <w:rPr>
                <w:b/>
              </w:rPr>
              <w:t>Involvement:</w:t>
            </w:r>
            <w:r>
              <w:t xml:space="preserve"> </w:t>
            </w:r>
          </w:p>
          <w:p w:rsidR="000A7E4A" w:rsidRDefault="0029199E">
            <w:r>
              <w:t xml:space="preserve">- Civil actors actively influence or participate in decision making or governance of forested landscapes  </w:t>
            </w:r>
          </w:p>
          <w:p w:rsidR="000A7E4A" w:rsidRDefault="0029199E">
            <w:pPr>
              <w:rPr>
                <w:i/>
                <w:color w:val="0070C0"/>
              </w:rPr>
            </w:pPr>
            <w:r>
              <w:rPr>
                <w:i/>
                <w:color w:val="0070C0"/>
              </w:rPr>
              <w:t xml:space="preserve">- Civil actors have the capacity to influence or participate, are organized, formed coalitions, etc. </w:t>
            </w:r>
          </w:p>
        </w:tc>
        <w:tc>
          <w:tcPr>
            <w:tcW w:w="7089" w:type="dxa"/>
            <w:tcMar>
              <w:left w:w="103" w:type="dxa"/>
            </w:tcMar>
          </w:tcPr>
          <w:p w:rsidR="000A7E4A" w:rsidRDefault="0029199E">
            <w:pPr>
              <w:numPr>
                <w:ilvl w:val="0"/>
                <w:numId w:val="7"/>
              </w:numPr>
              <w:pBdr>
                <w:top w:val="nil"/>
                <w:left w:val="nil"/>
                <w:bottom w:val="nil"/>
                <w:right w:val="nil"/>
                <w:between w:val="nil"/>
              </w:pBdr>
              <w:spacing w:line="259" w:lineRule="auto"/>
              <w:rPr>
                <w:color w:val="00000A"/>
                <w:sz w:val="22"/>
                <w:szCs w:val="22"/>
              </w:rPr>
            </w:pPr>
            <w:r>
              <w:rPr>
                <w:color w:val="00000A"/>
                <w:sz w:val="22"/>
                <w:szCs w:val="22"/>
              </w:rPr>
              <w:t xml:space="preserve">Civil actors have an active role in forested landscape governance issues, e.g. in (facilitating) participatory spatial planning, but public or private actors take the end-decisions </w:t>
            </w:r>
          </w:p>
          <w:p w:rsidR="000A7E4A" w:rsidRDefault="0029199E">
            <w:pPr>
              <w:numPr>
                <w:ilvl w:val="0"/>
                <w:numId w:val="7"/>
              </w:numPr>
              <w:pBdr>
                <w:top w:val="nil"/>
                <w:left w:val="nil"/>
                <w:bottom w:val="nil"/>
                <w:right w:val="nil"/>
                <w:between w:val="nil"/>
              </w:pBdr>
              <w:spacing w:line="259" w:lineRule="auto"/>
              <w:rPr>
                <w:color w:val="00000A"/>
                <w:sz w:val="22"/>
                <w:szCs w:val="22"/>
              </w:rPr>
            </w:pPr>
            <w:r>
              <w:rPr>
                <w:color w:val="00000A"/>
                <w:sz w:val="22"/>
                <w:szCs w:val="22"/>
              </w:rPr>
              <w:t>Civil actors are allowed to actively advise or plan but public or private actors retain the power to decide on the legitimacy or feasibility of the advice. E.g.: participatory workshops engaging a representative range of concerned stakeholders about new developments in the area, in which discussions/ results can be input to decisions</w:t>
            </w:r>
          </w:p>
          <w:p w:rsidR="000A7E4A" w:rsidRDefault="0029199E">
            <w:pPr>
              <w:numPr>
                <w:ilvl w:val="0"/>
                <w:numId w:val="7"/>
              </w:numPr>
              <w:pBdr>
                <w:top w:val="nil"/>
                <w:left w:val="nil"/>
                <w:bottom w:val="nil"/>
                <w:right w:val="nil"/>
                <w:between w:val="nil"/>
              </w:pBdr>
              <w:spacing w:line="259" w:lineRule="auto"/>
              <w:rPr>
                <w:color w:val="00000A"/>
                <w:sz w:val="22"/>
                <w:szCs w:val="22"/>
              </w:rPr>
            </w:pPr>
            <w:r>
              <w:rPr>
                <w:color w:val="00000A"/>
                <w:sz w:val="22"/>
                <w:szCs w:val="22"/>
              </w:rPr>
              <w:t>Farmers associations/ unions promoting/facilitating nature based sustainable practices among members and government</w:t>
            </w:r>
          </w:p>
          <w:p w:rsidR="000A7E4A" w:rsidRDefault="0029199E">
            <w:pPr>
              <w:numPr>
                <w:ilvl w:val="0"/>
                <w:numId w:val="7"/>
              </w:numPr>
              <w:pBdr>
                <w:top w:val="nil"/>
                <w:left w:val="nil"/>
                <w:bottom w:val="nil"/>
                <w:right w:val="nil"/>
                <w:between w:val="nil"/>
              </w:pBdr>
              <w:spacing w:line="259" w:lineRule="auto"/>
              <w:rPr>
                <w:color w:val="00000A"/>
                <w:sz w:val="22"/>
                <w:szCs w:val="22"/>
              </w:rPr>
            </w:pPr>
            <w:r>
              <w:rPr>
                <w:color w:val="00000A"/>
                <w:sz w:val="22"/>
                <w:szCs w:val="22"/>
              </w:rPr>
              <w:t>Local CSO coalition provides technical assistance to oil palm company to improve HCV allocation and management</w:t>
            </w:r>
          </w:p>
          <w:p w:rsidR="000A7E4A" w:rsidRDefault="0029199E">
            <w:pPr>
              <w:numPr>
                <w:ilvl w:val="0"/>
                <w:numId w:val="7"/>
              </w:numPr>
              <w:pBdr>
                <w:top w:val="nil"/>
                <w:left w:val="nil"/>
                <w:bottom w:val="nil"/>
                <w:right w:val="nil"/>
                <w:between w:val="nil"/>
              </w:pBdr>
              <w:spacing w:line="259" w:lineRule="auto"/>
              <w:rPr>
                <w:color w:val="00000A"/>
                <w:sz w:val="22"/>
                <w:szCs w:val="22"/>
              </w:rPr>
            </w:pPr>
            <w:r>
              <w:rPr>
                <w:color w:val="00000A"/>
                <w:sz w:val="22"/>
                <w:szCs w:val="22"/>
              </w:rPr>
              <w:t>CSOs lobby successfully for the use of ecosystem values for ecological protection in production areas</w:t>
            </w:r>
          </w:p>
          <w:p w:rsidR="000A7E4A" w:rsidRDefault="0029199E">
            <w:pPr>
              <w:numPr>
                <w:ilvl w:val="0"/>
                <w:numId w:val="7"/>
              </w:numPr>
              <w:pBdr>
                <w:top w:val="nil"/>
                <w:left w:val="nil"/>
                <w:bottom w:val="nil"/>
                <w:right w:val="nil"/>
                <w:between w:val="nil"/>
              </w:pBdr>
              <w:spacing w:line="259" w:lineRule="auto"/>
              <w:rPr>
                <w:i/>
                <w:color w:val="0070C0"/>
                <w:sz w:val="22"/>
                <w:szCs w:val="22"/>
              </w:rPr>
            </w:pPr>
            <w:r>
              <w:rPr>
                <w:i/>
                <w:color w:val="0070C0"/>
                <w:sz w:val="22"/>
                <w:szCs w:val="22"/>
              </w:rPr>
              <w:t xml:space="preserve">Communities/civil actors are able to request forested land tenure and titles.   </w:t>
            </w:r>
          </w:p>
          <w:p w:rsidR="000A7E4A" w:rsidRDefault="0029199E">
            <w:pPr>
              <w:numPr>
                <w:ilvl w:val="0"/>
                <w:numId w:val="7"/>
              </w:numPr>
              <w:pBdr>
                <w:top w:val="nil"/>
                <w:left w:val="nil"/>
                <w:bottom w:val="nil"/>
                <w:right w:val="nil"/>
                <w:between w:val="nil"/>
              </w:pBdr>
              <w:spacing w:line="259" w:lineRule="auto"/>
              <w:rPr>
                <w:i/>
                <w:color w:val="0070C0"/>
                <w:sz w:val="22"/>
                <w:szCs w:val="22"/>
              </w:rPr>
            </w:pPr>
            <w:r>
              <w:rPr>
                <w:i/>
                <w:color w:val="0070C0"/>
                <w:sz w:val="22"/>
                <w:szCs w:val="22"/>
              </w:rPr>
              <w:t>CSOs are able to map oil palm supply chain as a basis for L&amp;A.</w:t>
            </w:r>
          </w:p>
          <w:p w:rsidR="000A7E4A" w:rsidRDefault="0029199E">
            <w:pPr>
              <w:numPr>
                <w:ilvl w:val="0"/>
                <w:numId w:val="7"/>
              </w:numPr>
              <w:pBdr>
                <w:top w:val="nil"/>
                <w:left w:val="nil"/>
                <w:bottom w:val="nil"/>
                <w:right w:val="nil"/>
                <w:between w:val="nil"/>
              </w:pBdr>
              <w:spacing w:after="160" w:line="259" w:lineRule="auto"/>
              <w:rPr>
                <w:i/>
                <w:color w:val="0070C0"/>
                <w:sz w:val="22"/>
                <w:szCs w:val="22"/>
              </w:rPr>
            </w:pPr>
            <w:r>
              <w:rPr>
                <w:i/>
                <w:color w:val="0070C0"/>
                <w:sz w:val="22"/>
                <w:szCs w:val="22"/>
              </w:rPr>
              <w:t>Local CSOs are able to support local communities to participate effectively in land use planning and forestland allocation processes</w:t>
            </w:r>
          </w:p>
          <w:p w:rsidR="000A7E4A" w:rsidRDefault="0029199E">
            <w:pPr>
              <w:numPr>
                <w:ilvl w:val="0"/>
                <w:numId w:val="7"/>
              </w:numPr>
              <w:pBdr>
                <w:top w:val="nil"/>
                <w:left w:val="nil"/>
                <w:bottom w:val="nil"/>
                <w:right w:val="nil"/>
                <w:between w:val="nil"/>
              </w:pBdr>
              <w:spacing w:line="259" w:lineRule="auto"/>
              <w:rPr>
                <w:i/>
                <w:color w:val="0070C0"/>
                <w:sz w:val="22"/>
                <w:szCs w:val="22"/>
              </w:rPr>
            </w:pPr>
            <w:r>
              <w:rPr>
                <w:i/>
                <w:color w:val="0070C0"/>
                <w:sz w:val="22"/>
                <w:szCs w:val="22"/>
              </w:rPr>
              <w:t>CSOs, CBOs are able to support local communities to lobby for and/or claim land titles, and resource use rights.</w:t>
            </w:r>
          </w:p>
          <w:p w:rsidR="000A7E4A" w:rsidRDefault="0029199E">
            <w:pPr>
              <w:numPr>
                <w:ilvl w:val="0"/>
                <w:numId w:val="7"/>
              </w:numPr>
              <w:pBdr>
                <w:top w:val="nil"/>
                <w:left w:val="nil"/>
                <w:bottom w:val="nil"/>
                <w:right w:val="nil"/>
                <w:between w:val="nil"/>
              </w:pBdr>
              <w:spacing w:after="160" w:line="259" w:lineRule="auto"/>
              <w:rPr>
                <w:i/>
                <w:color w:val="0070C0"/>
                <w:sz w:val="22"/>
                <w:szCs w:val="22"/>
              </w:rPr>
            </w:pPr>
            <w:r>
              <w:rPr>
                <w:i/>
                <w:color w:val="0070C0"/>
                <w:sz w:val="22"/>
                <w:szCs w:val="22"/>
              </w:rPr>
              <w:t>CSOs generate and deploy verified evidence in campaigns to influence decision making of public and private actors</w:t>
            </w:r>
          </w:p>
          <w:p w:rsidR="000A7E4A" w:rsidRDefault="0029199E">
            <w:pPr>
              <w:numPr>
                <w:ilvl w:val="0"/>
                <w:numId w:val="7"/>
              </w:numPr>
              <w:pBdr>
                <w:top w:val="nil"/>
                <w:left w:val="nil"/>
                <w:bottom w:val="nil"/>
                <w:right w:val="nil"/>
                <w:between w:val="nil"/>
              </w:pBdr>
              <w:spacing w:after="160" w:line="259" w:lineRule="auto"/>
              <w:rPr>
                <w:color w:val="0070C0"/>
                <w:sz w:val="22"/>
                <w:szCs w:val="22"/>
              </w:rPr>
            </w:pPr>
            <w:r>
              <w:rPr>
                <w:i/>
                <w:color w:val="0070C0"/>
                <w:sz w:val="22"/>
                <w:szCs w:val="22"/>
              </w:rPr>
              <w:t>Local communities are able to defend their rights and promote their own sustainable livelihood systems towards companies and governments.</w:t>
            </w:r>
          </w:p>
        </w:tc>
      </w:tr>
      <w:tr w:rsidR="000A7E4A">
        <w:trPr>
          <w:trHeight w:val="280"/>
        </w:trPr>
        <w:tc>
          <w:tcPr>
            <w:tcW w:w="847" w:type="dxa"/>
            <w:tcMar>
              <w:left w:w="103" w:type="dxa"/>
            </w:tcMar>
          </w:tcPr>
          <w:p w:rsidR="000A7E4A" w:rsidRDefault="0029199E">
            <w:r>
              <w:t>Level 5</w:t>
            </w:r>
          </w:p>
        </w:tc>
        <w:tc>
          <w:tcPr>
            <w:tcW w:w="2520" w:type="dxa"/>
            <w:tcMar>
              <w:left w:w="103" w:type="dxa"/>
            </w:tcMar>
          </w:tcPr>
          <w:p w:rsidR="000A7E4A" w:rsidRDefault="0029199E">
            <w:r>
              <w:rPr>
                <w:b/>
              </w:rPr>
              <w:t>Partnership/collaboration:</w:t>
            </w:r>
            <w:r>
              <w:t xml:space="preserve"> </w:t>
            </w:r>
          </w:p>
          <w:p w:rsidR="000A7E4A" w:rsidRDefault="0029199E">
            <w:r>
              <w:t xml:space="preserve">- Civil actors are considered partners by public and/or private actors in decision making and processes of forested landscape governance.  </w:t>
            </w:r>
          </w:p>
          <w:p w:rsidR="000A7E4A" w:rsidRDefault="0029199E">
            <w:pPr>
              <w:rPr>
                <w:i/>
                <w:color w:val="0070C0"/>
              </w:rPr>
            </w:pPr>
            <w:r>
              <w:rPr>
                <w:i/>
                <w:color w:val="0070C0"/>
              </w:rPr>
              <w:t>- Civil actors have the capacity and means to influence or participate as equal partners</w:t>
            </w:r>
          </w:p>
        </w:tc>
        <w:tc>
          <w:tcPr>
            <w:tcW w:w="7089" w:type="dxa"/>
            <w:tcMar>
              <w:left w:w="103" w:type="dxa"/>
            </w:tcMar>
          </w:tcPr>
          <w:p w:rsidR="000A7E4A" w:rsidRDefault="0029199E">
            <w:pPr>
              <w:numPr>
                <w:ilvl w:val="0"/>
                <w:numId w:val="2"/>
              </w:numPr>
              <w:pBdr>
                <w:top w:val="nil"/>
                <w:left w:val="nil"/>
                <w:bottom w:val="nil"/>
                <w:right w:val="nil"/>
                <w:between w:val="nil"/>
              </w:pBdr>
              <w:spacing w:line="259" w:lineRule="auto"/>
              <w:rPr>
                <w:color w:val="00000A"/>
                <w:sz w:val="22"/>
                <w:szCs w:val="22"/>
              </w:rPr>
            </w:pPr>
            <w:r>
              <w:rPr>
                <w:color w:val="00000A"/>
                <w:sz w:val="22"/>
                <w:szCs w:val="22"/>
              </w:rPr>
              <w:t xml:space="preserve">Civil actors are directly involved in planning, decision making processes and activities through a formal partnership/ joint body with public and/or private actors for a shared common goal, and agreed division of roles and responsibilities. E.g.: community management committee for communal forest area used by multiple stakeholders. </w:t>
            </w:r>
          </w:p>
          <w:p w:rsidR="000A7E4A" w:rsidRDefault="0029199E">
            <w:pPr>
              <w:numPr>
                <w:ilvl w:val="0"/>
                <w:numId w:val="2"/>
              </w:numPr>
              <w:pBdr>
                <w:top w:val="nil"/>
                <w:left w:val="nil"/>
                <w:bottom w:val="nil"/>
                <w:right w:val="nil"/>
                <w:between w:val="nil"/>
              </w:pBdr>
              <w:spacing w:line="259" w:lineRule="auto"/>
              <w:rPr>
                <w:color w:val="00000A"/>
                <w:sz w:val="22"/>
                <w:szCs w:val="22"/>
              </w:rPr>
            </w:pPr>
            <w:r>
              <w:rPr>
                <w:color w:val="00000A"/>
                <w:sz w:val="22"/>
                <w:szCs w:val="22"/>
              </w:rPr>
              <w:t xml:space="preserve">Decisions regarding forested landscape governance are the result of negotiations between civil and public/private actors, or direct influence of civil actors through L&amp;A, e.g. on spatial planning/ governance/ land use or tenure rights in a forested landscape, or in standard setting for oil palm growers. </w:t>
            </w:r>
          </w:p>
          <w:p w:rsidR="000A7E4A" w:rsidRDefault="0029199E">
            <w:pPr>
              <w:numPr>
                <w:ilvl w:val="0"/>
                <w:numId w:val="2"/>
              </w:numPr>
              <w:pBdr>
                <w:top w:val="nil"/>
                <w:left w:val="nil"/>
                <w:bottom w:val="nil"/>
                <w:right w:val="nil"/>
                <w:between w:val="nil"/>
              </w:pBdr>
              <w:spacing w:line="259" w:lineRule="auto"/>
              <w:rPr>
                <w:i/>
                <w:color w:val="0070C0"/>
                <w:sz w:val="22"/>
                <w:szCs w:val="22"/>
              </w:rPr>
            </w:pPr>
            <w:r>
              <w:rPr>
                <w:i/>
                <w:color w:val="0070C0"/>
                <w:sz w:val="22"/>
                <w:szCs w:val="22"/>
              </w:rPr>
              <w:t>Civil actors have the capacity and  the means to participate in forms of village and inter-village spatial planning; participatory conservation planning etc.</w:t>
            </w:r>
          </w:p>
          <w:p w:rsidR="000A7E4A" w:rsidRDefault="0029199E">
            <w:pPr>
              <w:numPr>
                <w:ilvl w:val="0"/>
                <w:numId w:val="2"/>
              </w:numPr>
              <w:pBdr>
                <w:top w:val="nil"/>
                <w:left w:val="nil"/>
                <w:bottom w:val="nil"/>
                <w:right w:val="nil"/>
                <w:between w:val="nil"/>
              </w:pBdr>
              <w:spacing w:line="259" w:lineRule="auto"/>
              <w:rPr>
                <w:i/>
                <w:color w:val="0070C0"/>
                <w:sz w:val="22"/>
                <w:szCs w:val="22"/>
              </w:rPr>
            </w:pPr>
            <w:r>
              <w:rPr>
                <w:i/>
                <w:color w:val="0070C0"/>
                <w:sz w:val="22"/>
                <w:szCs w:val="22"/>
              </w:rPr>
              <w:t xml:space="preserve">Members of farmer’s associations are starting to deploy nature based sustainable practices </w:t>
            </w:r>
          </w:p>
        </w:tc>
      </w:tr>
      <w:tr w:rsidR="000A7E4A">
        <w:trPr>
          <w:trHeight w:val="20"/>
        </w:trPr>
        <w:tc>
          <w:tcPr>
            <w:tcW w:w="847" w:type="dxa"/>
            <w:tcMar>
              <w:left w:w="103" w:type="dxa"/>
            </w:tcMar>
          </w:tcPr>
          <w:p w:rsidR="000A7E4A" w:rsidRDefault="0029199E">
            <w:r>
              <w:t>Level 6</w:t>
            </w:r>
          </w:p>
        </w:tc>
        <w:tc>
          <w:tcPr>
            <w:tcW w:w="2520" w:type="dxa"/>
            <w:tcMar>
              <w:left w:w="103" w:type="dxa"/>
            </w:tcMar>
          </w:tcPr>
          <w:p w:rsidR="000A7E4A" w:rsidRDefault="0029199E">
            <w:pPr>
              <w:rPr>
                <w:b/>
              </w:rPr>
            </w:pPr>
            <w:r>
              <w:rPr>
                <w:b/>
              </w:rPr>
              <w:t>Leading role for civil actors</w:t>
            </w:r>
          </w:p>
          <w:p w:rsidR="000A7E4A" w:rsidRDefault="0029199E">
            <w:r>
              <w:t xml:space="preserve">- Civil actors have a leading influence, delegated power or full control in decisions on forested landscape governance. </w:t>
            </w:r>
          </w:p>
          <w:p w:rsidR="000A7E4A" w:rsidRDefault="0029199E">
            <w:pPr>
              <w:rPr>
                <w:i/>
                <w:color w:val="0070C0"/>
              </w:rPr>
            </w:pPr>
            <w:r>
              <w:rPr>
                <w:i/>
                <w:color w:val="0070C0"/>
              </w:rPr>
              <w:t xml:space="preserve">- Civil actors are fully capacitated and acknowledged for having the leading role. </w:t>
            </w:r>
          </w:p>
        </w:tc>
        <w:tc>
          <w:tcPr>
            <w:tcW w:w="7089" w:type="dxa"/>
            <w:tcMar>
              <w:left w:w="103" w:type="dxa"/>
            </w:tcMar>
          </w:tcPr>
          <w:p w:rsidR="000A7E4A" w:rsidRDefault="0029199E">
            <w:pPr>
              <w:numPr>
                <w:ilvl w:val="0"/>
                <w:numId w:val="12"/>
              </w:numPr>
              <w:pBdr>
                <w:top w:val="nil"/>
                <w:left w:val="nil"/>
                <w:bottom w:val="nil"/>
                <w:right w:val="nil"/>
                <w:between w:val="nil"/>
              </w:pBdr>
              <w:spacing w:line="259" w:lineRule="auto"/>
              <w:rPr>
                <w:color w:val="00000A"/>
                <w:sz w:val="22"/>
                <w:szCs w:val="22"/>
              </w:rPr>
            </w:pPr>
            <w:r>
              <w:rPr>
                <w:color w:val="00000A"/>
                <w:sz w:val="22"/>
                <w:szCs w:val="22"/>
              </w:rPr>
              <w:t>Civil actors’ led activities, in which decision making is shared with public and/or private actors as equal partners</w:t>
            </w:r>
          </w:p>
          <w:p w:rsidR="000A7E4A" w:rsidRDefault="0029199E">
            <w:pPr>
              <w:numPr>
                <w:ilvl w:val="0"/>
                <w:numId w:val="12"/>
              </w:numPr>
              <w:pBdr>
                <w:top w:val="nil"/>
                <w:left w:val="nil"/>
                <w:bottom w:val="nil"/>
                <w:right w:val="nil"/>
                <w:between w:val="nil"/>
              </w:pBdr>
              <w:spacing w:line="259" w:lineRule="auto"/>
              <w:rPr>
                <w:color w:val="00000A"/>
                <w:sz w:val="22"/>
                <w:szCs w:val="22"/>
              </w:rPr>
            </w:pPr>
            <w:r>
              <w:rPr>
                <w:color w:val="00000A"/>
                <w:sz w:val="22"/>
                <w:szCs w:val="22"/>
              </w:rPr>
              <w:t>Civil actors have the dominant or full decision making authority in a plan or program, even if the goal was set by a public or private actor. E.g. community forested area management committee composed of representatives of different community stakeholders with the delegated authority to take decisions on land use and tenure rights.  Representatives of public or private actors might be in the committee but with an advisory role only.</w:t>
            </w:r>
          </w:p>
          <w:p w:rsidR="000A7E4A" w:rsidRDefault="0029199E">
            <w:pPr>
              <w:numPr>
                <w:ilvl w:val="0"/>
                <w:numId w:val="12"/>
              </w:numPr>
              <w:pBdr>
                <w:top w:val="nil"/>
                <w:left w:val="nil"/>
                <w:bottom w:val="nil"/>
                <w:right w:val="nil"/>
                <w:between w:val="nil"/>
              </w:pBdr>
              <w:spacing w:line="259" w:lineRule="auto"/>
              <w:rPr>
                <w:i/>
                <w:color w:val="0070C0"/>
                <w:sz w:val="22"/>
                <w:szCs w:val="22"/>
              </w:rPr>
            </w:pPr>
            <w:r>
              <w:rPr>
                <w:i/>
                <w:color w:val="0070C0"/>
                <w:sz w:val="22"/>
                <w:szCs w:val="22"/>
              </w:rPr>
              <w:t>Resources and responsibilities are passed to civil actors for decisions on forested landscape governance issues, e.g. a forested area user corporation with no intermediaries between the corporation and the source of funds.</w:t>
            </w:r>
          </w:p>
          <w:p w:rsidR="000A7E4A" w:rsidRDefault="0029199E">
            <w:pPr>
              <w:numPr>
                <w:ilvl w:val="0"/>
                <w:numId w:val="12"/>
              </w:numPr>
              <w:pBdr>
                <w:top w:val="nil"/>
                <w:left w:val="nil"/>
                <w:bottom w:val="nil"/>
                <w:right w:val="nil"/>
                <w:between w:val="nil"/>
              </w:pBdr>
              <w:spacing w:line="259" w:lineRule="auto"/>
              <w:rPr>
                <w:i/>
                <w:color w:val="0070C0"/>
                <w:sz w:val="22"/>
                <w:szCs w:val="22"/>
              </w:rPr>
            </w:pPr>
            <w:r>
              <w:rPr>
                <w:i/>
                <w:color w:val="0070C0"/>
                <w:sz w:val="22"/>
                <w:szCs w:val="22"/>
              </w:rPr>
              <w:t>Members of farmer’s associations are deploying nature based sustainable practices.</w:t>
            </w:r>
          </w:p>
        </w:tc>
      </w:tr>
    </w:tbl>
    <w:p w:rsidR="000A7E4A" w:rsidRDefault="000A7E4A">
      <w:pPr>
        <w:tabs>
          <w:tab w:val="left" w:pos="2160"/>
        </w:tabs>
      </w:pPr>
    </w:p>
    <w:p w:rsidR="000A7E4A" w:rsidRDefault="000A7E4A">
      <w:pPr>
        <w:tabs>
          <w:tab w:val="left" w:pos="2160"/>
        </w:tabs>
      </w:pPr>
    </w:p>
    <w:p w:rsidR="000A7E4A" w:rsidRDefault="000A7E4A">
      <w:pPr>
        <w:spacing w:after="160"/>
        <w:rPr>
          <w:b/>
          <w:sz w:val="32"/>
          <w:szCs w:val="32"/>
        </w:rPr>
      </w:pPr>
    </w:p>
    <w:p w:rsidR="000A7E4A" w:rsidRDefault="0029199E">
      <w:pPr>
        <w:spacing w:after="160"/>
        <w:rPr>
          <w:b/>
          <w:sz w:val="32"/>
          <w:szCs w:val="32"/>
        </w:rPr>
      </w:pPr>
      <w:r>
        <w:br w:type="page"/>
      </w:r>
    </w:p>
    <w:p w:rsidR="000A7E4A" w:rsidRDefault="0029199E">
      <w:pPr>
        <w:pStyle w:val="Ttulo1"/>
      </w:pPr>
      <w:r>
        <w:t>Annex IIc: Climate-Smart Practice (CSP) tool</w:t>
      </w:r>
    </w:p>
    <w:p w:rsidR="000A7E4A" w:rsidRDefault="0029199E">
      <w:pPr>
        <w:spacing w:after="160"/>
      </w:pPr>
      <w:r>
        <w:t>The CSP tool is a scale of 5 levels. The levels in the tool are formulated so that they can apply to different stakeholders, but will be most relevant for communities, smallholders and other civil actors that are actively targeted to improve their practices for adaptation and mitigation of a changing climate. This tool does not provide a single definition of what a climate-smart practice is, since this is highly dependent on local conditions, but rather gives indication of the process of moving from ‘climate unawareness’ to climate-smartness.</w:t>
      </w:r>
    </w:p>
    <w:p w:rsidR="000A7E4A" w:rsidRDefault="0029199E">
      <w:pPr>
        <w:spacing w:after="160"/>
        <w:rPr>
          <w:b/>
        </w:rPr>
      </w:pPr>
      <w:r>
        <w:rPr>
          <w:b/>
        </w:rPr>
        <w:t>Scaling up</w:t>
      </w:r>
    </w:p>
    <w:p w:rsidR="000A7E4A" w:rsidRDefault="0029199E">
      <w:pPr>
        <w:spacing w:after="160"/>
      </w:pPr>
      <w:bookmarkStart w:id="3" w:name="_heading=h.gjdgxs" w:colFirst="0" w:colLast="0"/>
      <w:bookmarkEnd w:id="3"/>
      <w:r>
        <w:t>The levels on the CSP tool give an indication what steps can be considered as separate outcomes. For the CSP tool specifically, besides increasing in levels, an increase in scale, i.e. geographical or number of people, can also be considered a separate outcome. For example, a community adopted a climate-smart practice (level 5) that is consequently taken up and integrated on regional level.</w:t>
      </w:r>
    </w:p>
    <w:p w:rsidR="000A7E4A" w:rsidRDefault="000A7E4A">
      <w:pPr>
        <w:spacing w:after="160"/>
      </w:pPr>
    </w:p>
    <w:tbl>
      <w:tblPr>
        <w:tblStyle w:val="af2"/>
        <w:tblW w:w="1045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47"/>
        <w:gridCol w:w="2834"/>
        <w:gridCol w:w="6775"/>
      </w:tblGrid>
      <w:tr w:rsidR="000A7E4A">
        <w:tc>
          <w:tcPr>
            <w:tcW w:w="847" w:type="dxa"/>
            <w:shd w:val="clear" w:color="auto" w:fill="E7E6E6"/>
            <w:tcMar>
              <w:left w:w="103" w:type="dxa"/>
            </w:tcMar>
          </w:tcPr>
          <w:p w:rsidR="000A7E4A" w:rsidRDefault="0029199E">
            <w:pPr>
              <w:rPr>
                <w:b/>
              </w:rPr>
            </w:pPr>
            <w:r>
              <w:rPr>
                <w:b/>
              </w:rPr>
              <w:t>Level</w:t>
            </w:r>
          </w:p>
        </w:tc>
        <w:tc>
          <w:tcPr>
            <w:tcW w:w="2834" w:type="dxa"/>
            <w:shd w:val="clear" w:color="auto" w:fill="E7E6E6"/>
            <w:tcMar>
              <w:left w:w="103" w:type="dxa"/>
            </w:tcMar>
          </w:tcPr>
          <w:p w:rsidR="000A7E4A" w:rsidRDefault="0029199E">
            <w:pPr>
              <w:rPr>
                <w:b/>
              </w:rPr>
            </w:pPr>
            <w:r>
              <w:rPr>
                <w:b/>
              </w:rPr>
              <w:t>Description of level</w:t>
            </w:r>
          </w:p>
        </w:tc>
        <w:tc>
          <w:tcPr>
            <w:tcW w:w="6775" w:type="dxa"/>
            <w:shd w:val="clear" w:color="auto" w:fill="E7E6E6"/>
            <w:tcMar>
              <w:left w:w="103" w:type="dxa"/>
            </w:tcMar>
          </w:tcPr>
          <w:p w:rsidR="000A7E4A" w:rsidRDefault="0029199E">
            <w:pPr>
              <w:rPr>
                <w:b/>
              </w:rPr>
            </w:pPr>
            <w:r>
              <w:rPr>
                <w:b/>
              </w:rPr>
              <w:t xml:space="preserve">Generic examples </w:t>
            </w:r>
          </w:p>
        </w:tc>
      </w:tr>
      <w:tr w:rsidR="000A7E4A">
        <w:trPr>
          <w:trHeight w:val="500"/>
        </w:trPr>
        <w:tc>
          <w:tcPr>
            <w:tcW w:w="847" w:type="dxa"/>
            <w:tcMar>
              <w:left w:w="103" w:type="dxa"/>
            </w:tcMar>
            <w:vAlign w:val="center"/>
          </w:tcPr>
          <w:p w:rsidR="000A7E4A" w:rsidRDefault="0029199E">
            <w:r>
              <w:t>Level 1</w:t>
            </w:r>
          </w:p>
        </w:tc>
        <w:tc>
          <w:tcPr>
            <w:tcW w:w="2834" w:type="dxa"/>
            <w:tcMar>
              <w:left w:w="103" w:type="dxa"/>
            </w:tcMar>
          </w:tcPr>
          <w:p w:rsidR="000A7E4A" w:rsidRDefault="0029199E">
            <w:pPr>
              <w:rPr>
                <w:b/>
              </w:rPr>
            </w:pPr>
            <w:r>
              <w:t xml:space="preserve">The actor has </w:t>
            </w:r>
            <w:r>
              <w:rPr>
                <w:b/>
              </w:rPr>
              <w:t>no knowledge and/or interest in the issue</w:t>
            </w:r>
          </w:p>
        </w:tc>
        <w:tc>
          <w:tcPr>
            <w:tcW w:w="6775" w:type="dxa"/>
            <w:tcMar>
              <w:left w:w="103" w:type="dxa"/>
            </w:tcMar>
          </w:tcPr>
          <w:p w:rsidR="000A7E4A" w:rsidRDefault="0029199E">
            <w:pPr>
              <w:numPr>
                <w:ilvl w:val="0"/>
                <w:numId w:val="12"/>
              </w:numPr>
              <w:pBdr>
                <w:top w:val="nil"/>
                <w:left w:val="nil"/>
                <w:bottom w:val="nil"/>
                <w:right w:val="nil"/>
                <w:between w:val="nil"/>
              </w:pBdr>
              <w:spacing w:line="259" w:lineRule="auto"/>
              <w:rPr>
                <w:color w:val="00000A"/>
                <w:sz w:val="22"/>
                <w:szCs w:val="22"/>
              </w:rPr>
            </w:pPr>
            <w:r>
              <w:rPr>
                <w:color w:val="00000A"/>
                <w:sz w:val="22"/>
                <w:szCs w:val="22"/>
              </w:rPr>
              <w:t>Smallholder has no knowledge of the potential effects of climate change on their livelihoods and environment.</w:t>
            </w:r>
          </w:p>
        </w:tc>
      </w:tr>
      <w:tr w:rsidR="000A7E4A">
        <w:trPr>
          <w:trHeight w:val="500"/>
        </w:trPr>
        <w:tc>
          <w:tcPr>
            <w:tcW w:w="847" w:type="dxa"/>
            <w:tcMar>
              <w:left w:w="103" w:type="dxa"/>
            </w:tcMar>
            <w:vAlign w:val="center"/>
          </w:tcPr>
          <w:p w:rsidR="000A7E4A" w:rsidRDefault="0029199E">
            <w:r>
              <w:t>Level 2</w:t>
            </w:r>
          </w:p>
        </w:tc>
        <w:tc>
          <w:tcPr>
            <w:tcW w:w="2834" w:type="dxa"/>
            <w:tcMar>
              <w:left w:w="103" w:type="dxa"/>
            </w:tcMar>
          </w:tcPr>
          <w:p w:rsidR="000A7E4A" w:rsidRDefault="0029199E">
            <w:r>
              <w:rPr>
                <w:b/>
              </w:rPr>
              <w:t xml:space="preserve">Increased awareness and receptiveness </w:t>
            </w:r>
            <w:r>
              <w:t>of the actor for climate consequences and alternative practices</w:t>
            </w:r>
          </w:p>
        </w:tc>
        <w:tc>
          <w:tcPr>
            <w:tcW w:w="6775" w:type="dxa"/>
            <w:tcMar>
              <w:left w:w="103" w:type="dxa"/>
            </w:tcMar>
          </w:tcPr>
          <w:p w:rsidR="000A7E4A" w:rsidRDefault="0029199E">
            <w:pPr>
              <w:numPr>
                <w:ilvl w:val="0"/>
                <w:numId w:val="12"/>
              </w:numPr>
              <w:pBdr>
                <w:top w:val="nil"/>
                <w:left w:val="nil"/>
                <w:bottom w:val="nil"/>
                <w:right w:val="nil"/>
                <w:between w:val="nil"/>
              </w:pBdr>
              <w:spacing w:line="259" w:lineRule="auto"/>
              <w:rPr>
                <w:color w:val="00000A"/>
                <w:sz w:val="22"/>
                <w:szCs w:val="22"/>
              </w:rPr>
            </w:pPr>
            <w:r>
              <w:rPr>
                <w:color w:val="00000A"/>
                <w:sz w:val="22"/>
                <w:szCs w:val="22"/>
              </w:rPr>
              <w:t>Smallholder is aware of how their practices contribute to climate change and how these effects can be mitigated.</w:t>
            </w:r>
          </w:p>
          <w:p w:rsidR="000A7E4A" w:rsidRDefault="0029199E">
            <w:pPr>
              <w:numPr>
                <w:ilvl w:val="0"/>
                <w:numId w:val="12"/>
              </w:numPr>
              <w:pBdr>
                <w:top w:val="nil"/>
                <w:left w:val="nil"/>
                <w:bottom w:val="nil"/>
                <w:right w:val="nil"/>
                <w:between w:val="nil"/>
              </w:pBdr>
              <w:spacing w:line="259" w:lineRule="auto"/>
              <w:rPr>
                <w:color w:val="00000A"/>
                <w:sz w:val="22"/>
                <w:szCs w:val="22"/>
              </w:rPr>
            </w:pPr>
            <w:r>
              <w:rPr>
                <w:color w:val="00000A"/>
                <w:sz w:val="22"/>
                <w:szCs w:val="22"/>
              </w:rPr>
              <w:t xml:space="preserve">Smallholder knows of alternative practices that could reduce the impacts of climate change on their livelihoods and environment. </w:t>
            </w:r>
          </w:p>
        </w:tc>
      </w:tr>
      <w:tr w:rsidR="000A7E4A">
        <w:trPr>
          <w:trHeight w:val="500"/>
        </w:trPr>
        <w:tc>
          <w:tcPr>
            <w:tcW w:w="847" w:type="dxa"/>
            <w:tcMar>
              <w:left w:w="103" w:type="dxa"/>
            </w:tcMar>
            <w:vAlign w:val="center"/>
          </w:tcPr>
          <w:p w:rsidR="000A7E4A" w:rsidRDefault="0029199E">
            <w:r>
              <w:t>Level 3</w:t>
            </w:r>
          </w:p>
        </w:tc>
        <w:tc>
          <w:tcPr>
            <w:tcW w:w="2834" w:type="dxa"/>
            <w:tcMar>
              <w:left w:w="103" w:type="dxa"/>
            </w:tcMar>
          </w:tcPr>
          <w:p w:rsidR="000A7E4A" w:rsidRDefault="0029199E">
            <w:r>
              <w:t xml:space="preserve">The actor indicates </w:t>
            </w:r>
            <w:r>
              <w:rPr>
                <w:b/>
              </w:rPr>
              <w:t xml:space="preserve">interest and shows initiative </w:t>
            </w:r>
            <w:r>
              <w:t>to investigate alternative practices</w:t>
            </w:r>
          </w:p>
        </w:tc>
        <w:tc>
          <w:tcPr>
            <w:tcW w:w="6775" w:type="dxa"/>
            <w:tcMar>
              <w:left w:w="103" w:type="dxa"/>
            </w:tcMar>
          </w:tcPr>
          <w:p w:rsidR="000A7E4A" w:rsidRDefault="0029199E">
            <w:pPr>
              <w:numPr>
                <w:ilvl w:val="0"/>
                <w:numId w:val="12"/>
              </w:numPr>
              <w:pBdr>
                <w:top w:val="nil"/>
                <w:left w:val="nil"/>
                <w:bottom w:val="nil"/>
                <w:right w:val="nil"/>
                <w:between w:val="nil"/>
              </w:pBdr>
              <w:spacing w:line="259" w:lineRule="auto"/>
              <w:rPr>
                <w:color w:val="00000A"/>
                <w:sz w:val="22"/>
                <w:szCs w:val="22"/>
              </w:rPr>
            </w:pPr>
            <w:r>
              <w:rPr>
                <w:color w:val="00000A"/>
                <w:sz w:val="22"/>
                <w:szCs w:val="22"/>
              </w:rPr>
              <w:t>Smallholder actively seeks for, and/or addresses and discusses alternative practices.</w:t>
            </w:r>
          </w:p>
        </w:tc>
      </w:tr>
      <w:tr w:rsidR="000A7E4A">
        <w:trPr>
          <w:trHeight w:val="500"/>
        </w:trPr>
        <w:tc>
          <w:tcPr>
            <w:tcW w:w="847" w:type="dxa"/>
            <w:tcMar>
              <w:left w:w="103" w:type="dxa"/>
            </w:tcMar>
            <w:vAlign w:val="center"/>
          </w:tcPr>
          <w:p w:rsidR="000A7E4A" w:rsidRDefault="0029199E">
            <w:r>
              <w:t>Level 4</w:t>
            </w:r>
          </w:p>
        </w:tc>
        <w:tc>
          <w:tcPr>
            <w:tcW w:w="2834" w:type="dxa"/>
            <w:tcMar>
              <w:left w:w="103" w:type="dxa"/>
            </w:tcMar>
          </w:tcPr>
          <w:p w:rsidR="000A7E4A" w:rsidRDefault="0029199E">
            <w:pPr>
              <w:rPr>
                <w:b/>
              </w:rPr>
            </w:pPr>
            <w:r>
              <w:t xml:space="preserve">The actor has </w:t>
            </w:r>
            <w:r>
              <w:rPr>
                <w:b/>
              </w:rPr>
              <w:t xml:space="preserve">the capacity to adopt climate-smart practices </w:t>
            </w:r>
            <w:r>
              <w:t>that contribute to adaptation and/or mitigation</w:t>
            </w:r>
          </w:p>
        </w:tc>
        <w:tc>
          <w:tcPr>
            <w:tcW w:w="6775" w:type="dxa"/>
            <w:tcMar>
              <w:left w:w="103" w:type="dxa"/>
            </w:tcMar>
          </w:tcPr>
          <w:p w:rsidR="000A7E4A" w:rsidRDefault="0029199E">
            <w:pPr>
              <w:numPr>
                <w:ilvl w:val="0"/>
                <w:numId w:val="12"/>
              </w:numPr>
              <w:pBdr>
                <w:top w:val="nil"/>
                <w:left w:val="nil"/>
                <w:bottom w:val="nil"/>
                <w:right w:val="nil"/>
                <w:between w:val="nil"/>
              </w:pBdr>
              <w:spacing w:line="259" w:lineRule="auto"/>
              <w:rPr>
                <w:color w:val="00000A"/>
                <w:sz w:val="22"/>
                <w:szCs w:val="22"/>
              </w:rPr>
            </w:pPr>
            <w:r>
              <w:rPr>
                <w:color w:val="00000A"/>
                <w:sz w:val="22"/>
                <w:szCs w:val="22"/>
              </w:rPr>
              <w:t>Smallholder has the capacity to respond to changing conditions, by shifting to other or adapted cropping systems or other livelihood types.</w:t>
            </w:r>
          </w:p>
          <w:p w:rsidR="000A7E4A" w:rsidRDefault="0029199E">
            <w:pPr>
              <w:numPr>
                <w:ilvl w:val="0"/>
                <w:numId w:val="12"/>
              </w:numPr>
              <w:pBdr>
                <w:top w:val="nil"/>
                <w:left w:val="nil"/>
                <w:bottom w:val="nil"/>
                <w:right w:val="nil"/>
                <w:between w:val="nil"/>
              </w:pBdr>
              <w:spacing w:line="259" w:lineRule="auto"/>
              <w:rPr>
                <w:color w:val="00000A"/>
                <w:sz w:val="22"/>
                <w:szCs w:val="22"/>
              </w:rPr>
            </w:pPr>
            <w:r>
              <w:rPr>
                <w:color w:val="00000A"/>
                <w:sz w:val="22"/>
                <w:szCs w:val="22"/>
              </w:rPr>
              <w:t>Smallholder has the capacity to respond to livelihood failure at their current location by moving/migrating.</w:t>
            </w:r>
          </w:p>
        </w:tc>
      </w:tr>
      <w:tr w:rsidR="000A7E4A">
        <w:trPr>
          <w:trHeight w:val="500"/>
        </w:trPr>
        <w:tc>
          <w:tcPr>
            <w:tcW w:w="847" w:type="dxa"/>
            <w:tcMar>
              <w:left w:w="103" w:type="dxa"/>
            </w:tcMar>
            <w:vAlign w:val="center"/>
          </w:tcPr>
          <w:p w:rsidR="000A7E4A" w:rsidRDefault="0029199E">
            <w:r>
              <w:t>Level 5</w:t>
            </w:r>
          </w:p>
        </w:tc>
        <w:tc>
          <w:tcPr>
            <w:tcW w:w="2834" w:type="dxa"/>
            <w:tcMar>
              <w:left w:w="103" w:type="dxa"/>
            </w:tcMar>
          </w:tcPr>
          <w:p w:rsidR="000A7E4A" w:rsidRDefault="0029199E">
            <w:r>
              <w:t xml:space="preserve">The actor </w:t>
            </w:r>
            <w:r>
              <w:rPr>
                <w:b/>
              </w:rPr>
              <w:t xml:space="preserve">adopts and applies climate-smart practices </w:t>
            </w:r>
          </w:p>
        </w:tc>
        <w:tc>
          <w:tcPr>
            <w:tcW w:w="6775" w:type="dxa"/>
            <w:tcMar>
              <w:left w:w="103" w:type="dxa"/>
            </w:tcMar>
          </w:tcPr>
          <w:p w:rsidR="000A7E4A" w:rsidRDefault="0029199E">
            <w:pPr>
              <w:numPr>
                <w:ilvl w:val="0"/>
                <w:numId w:val="12"/>
              </w:numPr>
              <w:pBdr>
                <w:top w:val="nil"/>
                <w:left w:val="nil"/>
                <w:bottom w:val="nil"/>
                <w:right w:val="nil"/>
                <w:between w:val="nil"/>
              </w:pBdr>
              <w:spacing w:line="259" w:lineRule="auto"/>
              <w:rPr>
                <w:color w:val="00000A"/>
                <w:sz w:val="22"/>
                <w:szCs w:val="22"/>
              </w:rPr>
            </w:pPr>
            <w:r>
              <w:rPr>
                <w:color w:val="00000A"/>
                <w:sz w:val="22"/>
                <w:szCs w:val="22"/>
              </w:rPr>
              <w:t xml:space="preserve">Smallholder has adopted climate-smart practice </w:t>
            </w:r>
          </w:p>
        </w:tc>
      </w:tr>
    </w:tbl>
    <w:p w:rsidR="000A7E4A" w:rsidRDefault="000A7E4A">
      <w:pPr>
        <w:pStyle w:val="Ttulo1"/>
      </w:pPr>
    </w:p>
    <w:p w:rsidR="000A7E4A" w:rsidRDefault="0029199E">
      <w:pPr>
        <w:pStyle w:val="Ttulo1"/>
      </w:pPr>
      <w:r>
        <w:t>Annex IId: Gender &amp; youth (F/M) sensitivity assessment tool ((of interventions):</w:t>
      </w:r>
    </w:p>
    <w:p w:rsidR="000A7E4A" w:rsidRDefault="0029199E">
      <w:r>
        <w:t xml:space="preserve">Based on the Gender Marker tool developed by CARE International, we committed to ensuring that all interventions/ pathways are at least ‘gender &amp; youth (F/M) sensitive’ on a scale of ‘harmful’ to ‘transformative’ (see Figure X below), </w:t>
      </w:r>
    </w:p>
    <w:p w:rsidR="000A7E4A" w:rsidRDefault="000A7E4A"/>
    <w:p w:rsidR="000A7E4A" w:rsidRDefault="0029199E">
      <w:r>
        <w:t>The grade on the scale of ‘harmful’ to ‘transformative’ can be assessed by the following ‘markers’:</w:t>
      </w:r>
    </w:p>
    <w:p w:rsidR="000A7E4A" w:rsidRDefault="0029199E">
      <w:r>
        <w:t>Whether an intervention is:</w:t>
      </w:r>
    </w:p>
    <w:p w:rsidR="000A7E4A" w:rsidRDefault="0029199E">
      <w:pPr>
        <w:numPr>
          <w:ilvl w:val="0"/>
          <w:numId w:val="17"/>
        </w:numPr>
      </w:pPr>
      <w:r>
        <w:t>informed by analysis of gender and age (F/M) differences;</w:t>
      </w:r>
    </w:p>
    <w:p w:rsidR="000A7E4A" w:rsidRDefault="0029199E">
      <w:pPr>
        <w:numPr>
          <w:ilvl w:val="0"/>
          <w:numId w:val="17"/>
        </w:numPr>
      </w:pPr>
      <w:r>
        <w:t>adapted to meet the distinct needs and interests of men, women and youth (F/M);</w:t>
      </w:r>
    </w:p>
    <w:p w:rsidR="000A7E4A" w:rsidRDefault="0029199E">
      <w:pPr>
        <w:numPr>
          <w:ilvl w:val="0"/>
          <w:numId w:val="17"/>
        </w:numPr>
      </w:pPr>
      <w:r>
        <w:t xml:space="preserve">ensuring meaningful participation of men, women and youth (F/M); </w:t>
      </w:r>
    </w:p>
    <w:p w:rsidR="000A7E4A" w:rsidRDefault="0029199E">
      <w:pPr>
        <w:numPr>
          <w:ilvl w:val="0"/>
          <w:numId w:val="17"/>
        </w:numPr>
      </w:pPr>
      <w:r>
        <w:t xml:space="preserve">monitored by gender and age disaggregated monitoring and analysing systems. </w:t>
      </w:r>
    </w:p>
    <w:p w:rsidR="000A7E4A" w:rsidRDefault="0029199E">
      <w:pPr>
        <w:numPr>
          <w:ilvl w:val="0"/>
          <w:numId w:val="17"/>
        </w:numPr>
      </w:pPr>
      <w:r>
        <w:t xml:space="preserve">intervention is informed by </w:t>
      </w:r>
      <w:r>
        <w:rPr>
          <w:b/>
        </w:rPr>
        <w:t>an in depth analysis</w:t>
      </w:r>
      <w:r>
        <w:t xml:space="preserve"> of gender and age (F/M) differences; </w:t>
      </w:r>
    </w:p>
    <w:p w:rsidR="000A7E4A" w:rsidRDefault="0029199E">
      <w:pPr>
        <w:numPr>
          <w:ilvl w:val="0"/>
          <w:numId w:val="17"/>
        </w:numPr>
      </w:pPr>
      <w:r>
        <w:t xml:space="preserve">specifically advancing gender and/or youth (F/M) equality in agencies, structures </w:t>
      </w:r>
      <w:r>
        <w:rPr>
          <w:b/>
        </w:rPr>
        <w:t>and</w:t>
      </w:r>
      <w:r>
        <w:t xml:space="preserve"> relations;</w:t>
      </w:r>
    </w:p>
    <w:p w:rsidR="000A7E4A" w:rsidRDefault="0029199E">
      <w:pPr>
        <w:numPr>
          <w:ilvl w:val="0"/>
          <w:numId w:val="17"/>
        </w:numPr>
      </w:pPr>
      <w:r>
        <w:t xml:space="preserve">ensuring meaningful participation of men, women and youth (F/M) in </w:t>
      </w:r>
      <w:r>
        <w:rPr>
          <w:b/>
        </w:rPr>
        <w:t xml:space="preserve">all three </w:t>
      </w:r>
      <w:r>
        <w:t>of the following project processes: transparent information sharing; decision-making; responsive feedback mechanisms</w:t>
      </w:r>
    </w:p>
    <w:p w:rsidR="000A7E4A" w:rsidRDefault="0029199E">
      <w:pPr>
        <w:numPr>
          <w:ilvl w:val="0"/>
          <w:numId w:val="17"/>
        </w:numPr>
      </w:pPr>
      <w:r>
        <w:t xml:space="preserve">monitoring system is collecting, analysing and addressing </w:t>
      </w:r>
      <w:r>
        <w:rPr>
          <w:b/>
        </w:rPr>
        <w:t>all four</w:t>
      </w:r>
      <w:r>
        <w:t xml:space="preserve"> of the following: (1) changes in gender and/or youth (F/M)  roles and relations; (2) sex and age disaggregated data; (3) unintended consequences, and (4) changing protection risks and needs.</w:t>
      </w:r>
    </w:p>
    <w:p w:rsidR="000A7E4A" w:rsidRDefault="0029199E">
      <w:r>
        <w:t>E.g.: an intervention is only gender &amp; youth (F/M) sensitive when at least ‘markers’ A – D apply</w:t>
      </w:r>
    </w:p>
    <w:p w:rsidR="000A7E4A" w:rsidRDefault="000A7E4A"/>
    <w:p w:rsidR="000A7E4A" w:rsidRDefault="0029199E">
      <w:r>
        <w:t>Check which markers apply for your interventions leading to a certain outcome and which grade applies with the help of the following table:</w:t>
      </w:r>
    </w:p>
    <w:p w:rsidR="000A7E4A" w:rsidRDefault="000A7E4A"/>
    <w:p w:rsidR="000A7E4A" w:rsidRDefault="0029199E">
      <w:r>
        <w:t>Figure X: From gender harmful to gender transformative change assessment tool</w:t>
      </w:r>
    </w:p>
    <w:tbl>
      <w:tblPr>
        <w:tblStyle w:val="af3"/>
        <w:tblW w:w="1045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22"/>
        <w:gridCol w:w="4536"/>
        <w:gridCol w:w="3798"/>
      </w:tblGrid>
      <w:tr w:rsidR="000A7E4A">
        <w:tc>
          <w:tcPr>
            <w:tcW w:w="2122" w:type="dxa"/>
            <w:shd w:val="clear" w:color="auto" w:fill="E7E6E6"/>
          </w:tcPr>
          <w:p w:rsidR="000A7E4A" w:rsidRDefault="0029199E">
            <w:pPr>
              <w:spacing w:line="259" w:lineRule="auto"/>
              <w:rPr>
                <w:b/>
              </w:rPr>
            </w:pPr>
            <w:r>
              <w:rPr>
                <w:b/>
              </w:rPr>
              <w:t>Scale/category/grade</w:t>
            </w:r>
          </w:p>
        </w:tc>
        <w:tc>
          <w:tcPr>
            <w:tcW w:w="4536" w:type="dxa"/>
            <w:shd w:val="clear" w:color="auto" w:fill="E7E6E6"/>
          </w:tcPr>
          <w:p w:rsidR="000A7E4A" w:rsidRDefault="0029199E">
            <w:pPr>
              <w:spacing w:line="259" w:lineRule="auto"/>
              <w:rPr>
                <w:b/>
              </w:rPr>
            </w:pPr>
            <w:r>
              <w:rPr>
                <w:b/>
              </w:rPr>
              <w:t>Description</w:t>
            </w:r>
          </w:p>
        </w:tc>
        <w:tc>
          <w:tcPr>
            <w:tcW w:w="3798" w:type="dxa"/>
            <w:shd w:val="clear" w:color="auto" w:fill="E7E6E6"/>
          </w:tcPr>
          <w:p w:rsidR="000A7E4A" w:rsidRDefault="0029199E">
            <w:pPr>
              <w:spacing w:line="259" w:lineRule="auto"/>
              <w:rPr>
                <w:b/>
              </w:rPr>
            </w:pPr>
            <w:r>
              <w:rPr>
                <w:b/>
              </w:rPr>
              <w:t>Intervention ‘Markers’</w:t>
            </w:r>
          </w:p>
        </w:tc>
      </w:tr>
      <w:tr w:rsidR="000A7E4A">
        <w:tc>
          <w:tcPr>
            <w:tcW w:w="2122" w:type="dxa"/>
            <w:shd w:val="clear" w:color="auto" w:fill="FF0000"/>
          </w:tcPr>
          <w:p w:rsidR="000A7E4A" w:rsidRDefault="0029199E">
            <w:pPr>
              <w:rPr>
                <w:b/>
              </w:rPr>
            </w:pPr>
            <w:r>
              <w:rPr>
                <w:b/>
              </w:rPr>
              <w:t>Potentially Gender Harmful/ Negative</w:t>
            </w:r>
          </w:p>
        </w:tc>
        <w:tc>
          <w:tcPr>
            <w:tcW w:w="4536" w:type="dxa"/>
          </w:tcPr>
          <w:p w:rsidR="000A7E4A" w:rsidRDefault="0029199E">
            <w:pPr>
              <w:rPr>
                <w:sz w:val="18"/>
                <w:szCs w:val="18"/>
              </w:rPr>
            </w:pPr>
            <w:r>
              <w:rPr>
                <w:sz w:val="18"/>
                <w:szCs w:val="18"/>
              </w:rPr>
              <w:t>Program approaches are reinforcing inequitable gender stereotypes, or dis-empowering certain people in the process of achieving program goal;  Program uses gender norms, roles and stereotypes that reinforce gender inequalities</w:t>
            </w:r>
          </w:p>
        </w:tc>
        <w:tc>
          <w:tcPr>
            <w:tcW w:w="3798" w:type="dxa"/>
          </w:tcPr>
          <w:p w:rsidR="000A7E4A" w:rsidRDefault="0029199E">
            <w:r>
              <w:t>Intervention does not consider/work with gender and/or age related roles and relations and/or only one of the markers A to D above apply</w:t>
            </w:r>
          </w:p>
        </w:tc>
      </w:tr>
      <w:tr w:rsidR="000A7E4A">
        <w:tc>
          <w:tcPr>
            <w:tcW w:w="2122" w:type="dxa"/>
            <w:shd w:val="clear" w:color="auto" w:fill="ED7D31"/>
          </w:tcPr>
          <w:p w:rsidR="000A7E4A" w:rsidRDefault="0029199E">
            <w:pPr>
              <w:rPr>
                <w:b/>
              </w:rPr>
            </w:pPr>
            <w:r>
              <w:rPr>
                <w:b/>
              </w:rPr>
              <w:t>Gender “Neutral”</w:t>
            </w:r>
          </w:p>
        </w:tc>
        <w:tc>
          <w:tcPr>
            <w:tcW w:w="4536" w:type="dxa"/>
          </w:tcPr>
          <w:p w:rsidR="000A7E4A" w:rsidRDefault="0029199E">
            <w:pPr>
              <w:rPr>
                <w:sz w:val="18"/>
                <w:szCs w:val="18"/>
              </w:rPr>
            </w:pPr>
            <w:r>
              <w:rPr>
                <w:sz w:val="18"/>
                <w:szCs w:val="18"/>
              </w:rPr>
              <w:t>Gender is not considered relevant to development outcome; Gender norms, roles and relations are not affected (worsened or improved)</w:t>
            </w:r>
          </w:p>
        </w:tc>
        <w:tc>
          <w:tcPr>
            <w:tcW w:w="3798" w:type="dxa"/>
          </w:tcPr>
          <w:p w:rsidR="000A7E4A" w:rsidRDefault="0029199E">
            <w:r>
              <w:t>Intervention works with gender or age related roles and relations and 2 to 3 of the markers A-D above apply</w:t>
            </w:r>
          </w:p>
        </w:tc>
      </w:tr>
      <w:tr w:rsidR="000A7E4A">
        <w:tc>
          <w:tcPr>
            <w:tcW w:w="2122" w:type="dxa"/>
            <w:shd w:val="clear" w:color="auto" w:fill="FFC000"/>
          </w:tcPr>
          <w:p w:rsidR="000A7E4A" w:rsidRDefault="0029199E">
            <w:pPr>
              <w:rPr>
                <w:b/>
              </w:rPr>
            </w:pPr>
            <w:r>
              <w:rPr>
                <w:b/>
              </w:rPr>
              <w:t>Gender Sensitive</w:t>
            </w:r>
          </w:p>
        </w:tc>
        <w:tc>
          <w:tcPr>
            <w:tcW w:w="4536" w:type="dxa"/>
          </w:tcPr>
          <w:p w:rsidR="000A7E4A" w:rsidRDefault="0029199E">
            <w:pPr>
              <w:rPr>
                <w:sz w:val="18"/>
                <w:szCs w:val="18"/>
              </w:rPr>
            </w:pPr>
            <w:r>
              <w:rPr>
                <w:sz w:val="18"/>
                <w:szCs w:val="18"/>
              </w:rPr>
              <w:t>Gender is a means to reach set development goals; Addressing gender norms, roles and access to resources in so far as needed to reach project goals</w:t>
            </w:r>
          </w:p>
        </w:tc>
        <w:tc>
          <w:tcPr>
            <w:tcW w:w="3798" w:type="dxa"/>
          </w:tcPr>
          <w:p w:rsidR="000A7E4A" w:rsidRDefault="0029199E">
            <w:r>
              <w:t>Intervention works with gender or age related roles and relations and at least markers A to D  or markers A to E apply</w:t>
            </w:r>
          </w:p>
        </w:tc>
      </w:tr>
      <w:tr w:rsidR="000A7E4A">
        <w:tc>
          <w:tcPr>
            <w:tcW w:w="2122" w:type="dxa"/>
            <w:shd w:val="clear" w:color="auto" w:fill="A8D08D"/>
          </w:tcPr>
          <w:p w:rsidR="000A7E4A" w:rsidRDefault="0029199E">
            <w:pPr>
              <w:rPr>
                <w:b/>
              </w:rPr>
            </w:pPr>
            <w:r>
              <w:rPr>
                <w:b/>
              </w:rPr>
              <w:t>Gender Responsive/ Positive</w:t>
            </w:r>
          </w:p>
        </w:tc>
        <w:tc>
          <w:tcPr>
            <w:tcW w:w="4536" w:type="dxa"/>
          </w:tcPr>
          <w:p w:rsidR="000A7E4A" w:rsidRDefault="0029199E">
            <w:pPr>
              <w:rPr>
                <w:sz w:val="18"/>
                <w:szCs w:val="18"/>
              </w:rPr>
            </w:pPr>
            <w:r>
              <w:rPr>
                <w:sz w:val="18"/>
                <w:szCs w:val="18"/>
              </w:rPr>
              <w:t>Gender is central to achieving positive development outcomes; Changing gender norms, roles and access to resources a key component of project outcomes</w:t>
            </w:r>
          </w:p>
        </w:tc>
        <w:tc>
          <w:tcPr>
            <w:tcW w:w="3798" w:type="dxa"/>
          </w:tcPr>
          <w:p w:rsidR="000A7E4A" w:rsidRDefault="0029199E">
            <w:r>
              <w:t>Intervention challenges existing gender roles and relations and 2 to 3 of markers E – H apply</w:t>
            </w:r>
          </w:p>
        </w:tc>
      </w:tr>
      <w:tr w:rsidR="000A7E4A">
        <w:tc>
          <w:tcPr>
            <w:tcW w:w="2122" w:type="dxa"/>
            <w:shd w:val="clear" w:color="auto" w:fill="70AD47"/>
          </w:tcPr>
          <w:p w:rsidR="000A7E4A" w:rsidRDefault="0029199E">
            <w:pPr>
              <w:rPr>
                <w:b/>
              </w:rPr>
            </w:pPr>
            <w:r>
              <w:rPr>
                <w:b/>
              </w:rPr>
              <w:t>Gender Transformative</w:t>
            </w:r>
          </w:p>
        </w:tc>
        <w:tc>
          <w:tcPr>
            <w:tcW w:w="4536" w:type="dxa"/>
          </w:tcPr>
          <w:p w:rsidR="000A7E4A" w:rsidRDefault="0029199E">
            <w:pPr>
              <w:rPr>
                <w:sz w:val="18"/>
                <w:szCs w:val="18"/>
              </w:rPr>
            </w:pPr>
            <w:r>
              <w:rPr>
                <w:sz w:val="18"/>
                <w:szCs w:val="18"/>
              </w:rPr>
              <w:t>Program approaches or activities actively seeking to build equitable social norms and structures in addition to individual; gender-equitable behaviour. Gender is central to promoting gender equality and achieving positive development outcomes; Transforming unequal gender relations to promote shared power, control of resources, decision-making, and support for women’s empowerment</w:t>
            </w:r>
          </w:p>
        </w:tc>
        <w:tc>
          <w:tcPr>
            <w:tcW w:w="3798" w:type="dxa"/>
          </w:tcPr>
          <w:p w:rsidR="000A7E4A" w:rsidRDefault="0029199E">
            <w:r>
              <w:t>Intervention challenges existing gender roles and relations and all 4 markers E – H apply</w:t>
            </w:r>
          </w:p>
        </w:tc>
      </w:tr>
    </w:tbl>
    <w:p w:rsidR="000A7E4A" w:rsidRDefault="000A7E4A"/>
    <w:p w:rsidR="000A7E4A" w:rsidRDefault="000A7E4A"/>
    <w:sectPr w:rsidR="000A7E4A">
      <w:pgSz w:w="16838" w:h="11906"/>
      <w:pgMar w:top="720" w:right="720" w:bottom="720" w:left="720" w:header="709" w:footer="709" w:gutter="0"/>
      <w:cols w:space="720" w:equalWidth="0">
        <w:col w:w="8838"/>
      </w:cols>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21CCC" w:rsidRDefault="00821CCC">
      <w:pPr>
        <w:spacing w:line="240" w:lineRule="auto"/>
      </w:pPr>
      <w:r>
        <w:separator/>
      </w:r>
    </w:p>
  </w:endnote>
  <w:endnote w:type="continuationSeparator" w:id="0">
    <w:p w:rsidR="00821CCC" w:rsidRDefault="00821CC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Unicode MS">
    <w:panose1 w:val="020B0604020202020204"/>
    <w:charset w:val="00"/>
    <w:family w:val="roman"/>
    <w:pitch w:val="default"/>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0128" w:rsidRDefault="002A0128">
    <w:pPr>
      <w:pBdr>
        <w:top w:val="nil"/>
        <w:left w:val="nil"/>
        <w:bottom w:val="nil"/>
        <w:right w:val="nil"/>
        <w:between w:val="nil"/>
      </w:pBdr>
      <w:tabs>
        <w:tab w:val="center" w:pos="4536"/>
        <w:tab w:val="right" w:pos="9072"/>
      </w:tabs>
      <w:spacing w:line="240" w:lineRule="auto"/>
      <w:jc w:val="right"/>
      <w:rPr>
        <w:color w:val="000000"/>
      </w:rPr>
    </w:pPr>
    <w:r>
      <w:rPr>
        <w:color w:val="000000"/>
      </w:rPr>
      <w:fldChar w:fldCharType="begin"/>
    </w:r>
    <w:r>
      <w:rPr>
        <w:color w:val="000000"/>
      </w:rPr>
      <w:instrText>PAGE</w:instrText>
    </w:r>
    <w:r>
      <w:rPr>
        <w:color w:val="000000"/>
      </w:rPr>
      <w:fldChar w:fldCharType="separate"/>
    </w:r>
    <w:r w:rsidR="00C705E6">
      <w:rPr>
        <w:noProof/>
        <w:color w:val="000000"/>
      </w:rPr>
      <w:t>29</w:t>
    </w:r>
    <w:r>
      <w:rPr>
        <w:color w:val="000000"/>
      </w:rPr>
      <w:fldChar w:fldCharType="end"/>
    </w:r>
  </w:p>
  <w:p w:rsidR="002A0128" w:rsidRDefault="002A0128">
    <w:pPr>
      <w:pBdr>
        <w:top w:val="nil"/>
        <w:left w:val="nil"/>
        <w:bottom w:val="nil"/>
        <w:right w:val="nil"/>
        <w:between w:val="nil"/>
      </w:pBdr>
      <w:tabs>
        <w:tab w:val="center" w:pos="4536"/>
        <w:tab w:val="right" w:pos="9072"/>
      </w:tabs>
      <w:spacing w:line="240" w:lineRule="auto"/>
      <w:rPr>
        <w:color w:val="00000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21CCC" w:rsidRDefault="00821CCC">
      <w:pPr>
        <w:spacing w:line="240" w:lineRule="auto"/>
      </w:pPr>
      <w:r>
        <w:separator/>
      </w:r>
    </w:p>
  </w:footnote>
  <w:footnote w:type="continuationSeparator" w:id="0">
    <w:p w:rsidR="00821CCC" w:rsidRDefault="00821CCC">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7778E8"/>
    <w:multiLevelType w:val="multilevel"/>
    <w:tmpl w:val="80EA1902"/>
    <w:lvl w:ilvl="0">
      <w:start w:val="1"/>
      <w:numFmt w:val="decimal"/>
      <w:lvlText w:val="%1."/>
      <w:lvlJc w:val="left"/>
      <w:pPr>
        <w:ind w:left="720" w:hanging="360"/>
      </w:pPr>
      <w:rPr>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97570FC"/>
    <w:multiLevelType w:val="multilevel"/>
    <w:tmpl w:val="A89AAA90"/>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 w15:restartNumberingAfterBreak="0">
    <w:nsid w:val="13DC0B58"/>
    <w:multiLevelType w:val="multilevel"/>
    <w:tmpl w:val="CF626776"/>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3F2588B"/>
    <w:multiLevelType w:val="multilevel"/>
    <w:tmpl w:val="284C5360"/>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4" w15:restartNumberingAfterBreak="0">
    <w:nsid w:val="2222230A"/>
    <w:multiLevelType w:val="multilevel"/>
    <w:tmpl w:val="BDC6F308"/>
    <w:lvl w:ilvl="0">
      <w:start w:val="1"/>
      <w:numFmt w:val="bullet"/>
      <w:lvlText w:val="-"/>
      <w:lvlJc w:val="left"/>
      <w:pPr>
        <w:ind w:left="360" w:hanging="360"/>
      </w:pPr>
      <w:rPr>
        <w:rFonts w:ascii="Calibri" w:eastAsia="Calibri" w:hAnsi="Calibri" w:cs="Calibri"/>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5" w15:restartNumberingAfterBreak="0">
    <w:nsid w:val="23C16B5D"/>
    <w:multiLevelType w:val="multilevel"/>
    <w:tmpl w:val="5E123F2E"/>
    <w:lvl w:ilvl="0">
      <w:start w:val="1"/>
      <w:numFmt w:val="upp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 w15:restartNumberingAfterBreak="0">
    <w:nsid w:val="2B701C33"/>
    <w:multiLevelType w:val="multilevel"/>
    <w:tmpl w:val="FF2831D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2EDA14D5"/>
    <w:multiLevelType w:val="multilevel"/>
    <w:tmpl w:val="E48C8D9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2FF75CF4"/>
    <w:multiLevelType w:val="multilevel"/>
    <w:tmpl w:val="6BD2DE2A"/>
    <w:lvl w:ilvl="0">
      <w:start w:val="1"/>
      <w:numFmt w:val="bullet"/>
      <w:lvlText w:val="-"/>
      <w:lvlJc w:val="left"/>
      <w:pPr>
        <w:ind w:left="360" w:hanging="360"/>
      </w:pPr>
      <w:rPr>
        <w:rFonts w:ascii="Calibri" w:eastAsia="Calibri" w:hAnsi="Calibri" w:cs="Calibri"/>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9" w15:restartNumberingAfterBreak="0">
    <w:nsid w:val="49367345"/>
    <w:multiLevelType w:val="multilevel"/>
    <w:tmpl w:val="E0BACD2C"/>
    <w:lvl w:ilvl="0">
      <w:start w:val="1"/>
      <w:numFmt w:val="decimal"/>
      <w:lvlText w:val="%1"/>
      <w:lvlJc w:val="left"/>
      <w:pPr>
        <w:ind w:left="555" w:hanging="555"/>
      </w:pPr>
    </w:lvl>
    <w:lvl w:ilvl="1">
      <w:start w:val="1"/>
      <w:numFmt w:val="decimal"/>
      <w:lvlText w:val="%1.%2"/>
      <w:lvlJc w:val="left"/>
      <w:pPr>
        <w:ind w:left="555" w:hanging="555"/>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10" w15:restartNumberingAfterBreak="0">
    <w:nsid w:val="507A1AF7"/>
    <w:multiLevelType w:val="multilevel"/>
    <w:tmpl w:val="5E160CCE"/>
    <w:lvl w:ilvl="0">
      <w:start w:val="1"/>
      <w:numFmt w:val="bullet"/>
      <w:lvlText w:val="-"/>
      <w:lvlJc w:val="left"/>
      <w:pPr>
        <w:ind w:left="360" w:hanging="360"/>
      </w:pPr>
      <w:rPr>
        <w:rFonts w:ascii="Calibri" w:eastAsia="Calibri" w:hAnsi="Calibri" w:cs="Calibri"/>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1" w15:restartNumberingAfterBreak="0">
    <w:nsid w:val="51DB7FF6"/>
    <w:multiLevelType w:val="multilevel"/>
    <w:tmpl w:val="8AD46244"/>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2" w15:restartNumberingAfterBreak="0">
    <w:nsid w:val="67586C4C"/>
    <w:multiLevelType w:val="multilevel"/>
    <w:tmpl w:val="EDC413D4"/>
    <w:lvl w:ilvl="0">
      <w:start w:val="1"/>
      <w:numFmt w:val="bullet"/>
      <w:lvlText w:val="-"/>
      <w:lvlJc w:val="left"/>
      <w:pPr>
        <w:ind w:left="360" w:hanging="360"/>
      </w:pPr>
      <w:rPr>
        <w:rFonts w:ascii="Calibri" w:eastAsia="Calibri" w:hAnsi="Calibri" w:cs="Calibri"/>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3" w15:restartNumberingAfterBreak="0">
    <w:nsid w:val="69355ECB"/>
    <w:multiLevelType w:val="multilevel"/>
    <w:tmpl w:val="C902DF5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6AD52D31"/>
    <w:multiLevelType w:val="multilevel"/>
    <w:tmpl w:val="F9B08CD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5" w15:restartNumberingAfterBreak="0">
    <w:nsid w:val="6BEC0346"/>
    <w:multiLevelType w:val="multilevel"/>
    <w:tmpl w:val="A3384068"/>
    <w:lvl w:ilvl="0">
      <w:start w:val="1"/>
      <w:numFmt w:val="bullet"/>
      <w:lvlText w:val="-"/>
      <w:lvlJc w:val="left"/>
      <w:pPr>
        <w:ind w:left="360" w:hanging="360"/>
      </w:pPr>
      <w:rPr>
        <w:rFonts w:ascii="Calibri" w:eastAsia="Calibri" w:hAnsi="Calibri" w:cs="Calibri"/>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6" w15:restartNumberingAfterBreak="0">
    <w:nsid w:val="7E432761"/>
    <w:multiLevelType w:val="multilevel"/>
    <w:tmpl w:val="C5667A00"/>
    <w:lvl w:ilvl="0">
      <w:start w:val="1"/>
      <w:numFmt w:val="bullet"/>
      <w:lvlText w:val="-"/>
      <w:lvlJc w:val="left"/>
      <w:pPr>
        <w:ind w:left="360" w:hanging="360"/>
      </w:pPr>
      <w:rPr>
        <w:rFonts w:ascii="Calibri" w:eastAsia="Calibri" w:hAnsi="Calibri" w:cs="Calibri"/>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num w:numId="1">
    <w:abstractNumId w:val="15"/>
  </w:num>
  <w:num w:numId="2">
    <w:abstractNumId w:val="8"/>
  </w:num>
  <w:num w:numId="3">
    <w:abstractNumId w:val="11"/>
  </w:num>
  <w:num w:numId="4">
    <w:abstractNumId w:val="2"/>
  </w:num>
  <w:num w:numId="5">
    <w:abstractNumId w:val="10"/>
  </w:num>
  <w:num w:numId="6">
    <w:abstractNumId w:val="9"/>
  </w:num>
  <w:num w:numId="7">
    <w:abstractNumId w:val="12"/>
  </w:num>
  <w:num w:numId="8">
    <w:abstractNumId w:val="3"/>
  </w:num>
  <w:num w:numId="9">
    <w:abstractNumId w:val="1"/>
  </w:num>
  <w:num w:numId="10">
    <w:abstractNumId w:val="16"/>
  </w:num>
  <w:num w:numId="11">
    <w:abstractNumId w:val="14"/>
  </w:num>
  <w:num w:numId="12">
    <w:abstractNumId w:val="4"/>
  </w:num>
  <w:num w:numId="13">
    <w:abstractNumId w:val="0"/>
  </w:num>
  <w:num w:numId="14">
    <w:abstractNumId w:val="13"/>
  </w:num>
  <w:num w:numId="15">
    <w:abstractNumId w:val="6"/>
  </w:num>
  <w:num w:numId="16">
    <w:abstractNumId w:val="7"/>
  </w:num>
  <w:num w:numId="1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7E4A"/>
    <w:rsid w:val="000A7E4A"/>
    <w:rsid w:val="000B2EE1"/>
    <w:rsid w:val="001E3D64"/>
    <w:rsid w:val="00246FC8"/>
    <w:rsid w:val="0029199E"/>
    <w:rsid w:val="002A0128"/>
    <w:rsid w:val="002E61DC"/>
    <w:rsid w:val="00495809"/>
    <w:rsid w:val="005A32B8"/>
    <w:rsid w:val="005E33C5"/>
    <w:rsid w:val="00607B2B"/>
    <w:rsid w:val="00750F3B"/>
    <w:rsid w:val="007C19B9"/>
    <w:rsid w:val="008215E9"/>
    <w:rsid w:val="00821CCC"/>
    <w:rsid w:val="008944CB"/>
    <w:rsid w:val="00A8570B"/>
    <w:rsid w:val="00AC0BD2"/>
    <w:rsid w:val="00AD724C"/>
    <w:rsid w:val="00AF674A"/>
    <w:rsid w:val="00B2448B"/>
    <w:rsid w:val="00BE78E5"/>
    <w:rsid w:val="00C705E6"/>
    <w:rsid w:val="00F42D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FA92E77-64AE-4942-A452-80FB3F656B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US" w:eastAsia="en-US"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A7797"/>
  </w:style>
  <w:style w:type="paragraph" w:styleId="Ttulo1">
    <w:name w:val="heading 1"/>
    <w:basedOn w:val="Normal"/>
    <w:next w:val="Normal"/>
    <w:link w:val="Ttulo1Car"/>
    <w:uiPriority w:val="9"/>
    <w:qFormat/>
    <w:rsid w:val="001F03FB"/>
    <w:pPr>
      <w:keepNext/>
      <w:keepLines/>
      <w:spacing w:before="240"/>
      <w:outlineLvl w:val="0"/>
    </w:pPr>
    <w:rPr>
      <w:rFonts w:asciiTheme="majorHAnsi" w:eastAsiaTheme="majorEastAsia" w:hAnsiTheme="majorHAnsi" w:cstheme="majorBidi"/>
      <w:b/>
      <w:sz w:val="32"/>
      <w:szCs w:val="32"/>
      <w:lang w:val="en-GB"/>
    </w:rPr>
  </w:style>
  <w:style w:type="paragraph" w:styleId="Ttulo2">
    <w:name w:val="heading 2"/>
    <w:basedOn w:val="Ttulo1"/>
    <w:next w:val="Normal"/>
    <w:link w:val="Ttulo2Car"/>
    <w:uiPriority w:val="9"/>
    <w:unhideWhenUsed/>
    <w:qFormat/>
    <w:rsid w:val="001F03FB"/>
    <w:pPr>
      <w:outlineLvl w:val="1"/>
    </w:pPr>
    <w:rPr>
      <w:color w:val="1F4E79" w:themeColor="accent1" w:themeShade="80"/>
      <w:sz w:val="28"/>
    </w:rPr>
  </w:style>
  <w:style w:type="paragraph" w:styleId="Ttulo3">
    <w:name w:val="heading 3"/>
    <w:basedOn w:val="Normal"/>
    <w:next w:val="Normal"/>
    <w:link w:val="Ttulo3Car"/>
    <w:uiPriority w:val="9"/>
    <w:unhideWhenUsed/>
    <w:qFormat/>
    <w:rsid w:val="002A7797"/>
    <w:pPr>
      <w:outlineLvl w:val="2"/>
    </w:pPr>
    <w:rPr>
      <w:rFonts w:asciiTheme="majorHAnsi" w:eastAsiaTheme="majorEastAsia" w:hAnsiTheme="majorHAnsi" w:cstheme="majorBidi"/>
      <w:b/>
      <w:color w:val="1F4D78" w:themeColor="accent1" w:themeShade="7F"/>
      <w:sz w:val="24"/>
      <w:szCs w:val="24"/>
    </w:rPr>
  </w:style>
  <w:style w:type="paragraph" w:styleId="Ttulo4">
    <w:name w:val="heading 4"/>
    <w:basedOn w:val="Normal"/>
    <w:next w:val="Normal"/>
    <w:pPr>
      <w:keepNext/>
      <w:keepLines/>
      <w:spacing w:before="240" w:after="40"/>
      <w:outlineLvl w:val="3"/>
    </w:pPr>
    <w:rPr>
      <w:b/>
      <w:sz w:val="24"/>
      <w:szCs w:val="24"/>
    </w:rPr>
  </w:style>
  <w:style w:type="paragraph" w:styleId="Ttulo5">
    <w:name w:val="heading 5"/>
    <w:basedOn w:val="Normal"/>
    <w:next w:val="Normal"/>
    <w:pPr>
      <w:keepNext/>
      <w:keepLines/>
      <w:spacing w:before="220" w:after="40"/>
      <w:outlineLvl w:val="4"/>
    </w:pPr>
    <w:rPr>
      <w:b/>
    </w:rPr>
  </w:style>
  <w:style w:type="paragraph" w:styleId="Ttulo6">
    <w:name w:val="heading 6"/>
    <w:basedOn w:val="Normal"/>
    <w:next w:val="Normal"/>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link w:val="TtuloCar"/>
    <w:uiPriority w:val="10"/>
    <w:qFormat/>
    <w:rsid w:val="00B75C16"/>
    <w:pPr>
      <w:spacing w:line="240" w:lineRule="auto"/>
      <w:contextualSpacing/>
    </w:pPr>
    <w:rPr>
      <w:rFonts w:asciiTheme="majorHAnsi" w:eastAsiaTheme="majorEastAsia" w:hAnsiTheme="majorHAnsi" w:cstheme="majorBidi"/>
      <w:b/>
      <w:color w:val="000000" w:themeColor="text1"/>
      <w:spacing w:val="-10"/>
      <w:kern w:val="28"/>
      <w:sz w:val="32"/>
      <w:szCs w:val="32"/>
      <w:lang w:val="en-GB"/>
    </w:rPr>
  </w:style>
  <w:style w:type="table" w:customStyle="1" w:styleId="TableNormal0">
    <w:name w:val="Table Normal"/>
    <w:tblPr>
      <w:tblCellMar>
        <w:top w:w="0" w:type="dxa"/>
        <w:left w:w="0" w:type="dxa"/>
        <w:bottom w:w="0" w:type="dxa"/>
        <w:right w:w="0" w:type="dxa"/>
      </w:tblCellMar>
    </w:tblPr>
  </w:style>
  <w:style w:type="character" w:customStyle="1" w:styleId="Ttulo1Car">
    <w:name w:val="Título 1 Car"/>
    <w:basedOn w:val="Fuentedeprrafopredeter"/>
    <w:link w:val="Ttulo1"/>
    <w:uiPriority w:val="9"/>
    <w:rsid w:val="001F03FB"/>
    <w:rPr>
      <w:rFonts w:asciiTheme="majorHAnsi" w:eastAsiaTheme="majorEastAsia" w:hAnsiTheme="majorHAnsi" w:cstheme="majorBidi"/>
      <w:b/>
      <w:sz w:val="32"/>
      <w:szCs w:val="32"/>
      <w:lang w:val="en-GB"/>
    </w:rPr>
  </w:style>
  <w:style w:type="table" w:styleId="Tablaconcuadrcula">
    <w:name w:val="Table Grid"/>
    <w:basedOn w:val="Tablanormal"/>
    <w:uiPriority w:val="39"/>
    <w:rsid w:val="00CD71AF"/>
    <w:pPr>
      <w:spacing w:line="240" w:lineRule="auto"/>
    </w:pPr>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onotapieCar">
    <w:name w:val="Texto nota pie Car"/>
    <w:basedOn w:val="Fuentedeprrafopredeter"/>
    <w:link w:val="Textonotapie"/>
    <w:uiPriority w:val="99"/>
    <w:qFormat/>
    <w:rsid w:val="00CD71AF"/>
    <w:rPr>
      <w:rFonts w:ascii="Times New Roman" w:eastAsia="Times New Roman" w:hAnsi="Times New Roman" w:cs="Times New Roman"/>
      <w:sz w:val="20"/>
      <w:szCs w:val="20"/>
      <w:lang w:eastAsia="nl-NL"/>
    </w:rPr>
  </w:style>
  <w:style w:type="character" w:styleId="Refdenotaalpie">
    <w:name w:val="footnote reference"/>
    <w:basedOn w:val="Fuentedeprrafopredeter"/>
    <w:uiPriority w:val="99"/>
    <w:unhideWhenUsed/>
    <w:qFormat/>
    <w:rsid w:val="00CD71AF"/>
    <w:rPr>
      <w:vertAlign w:val="superscript"/>
    </w:rPr>
  </w:style>
  <w:style w:type="character" w:customStyle="1" w:styleId="FootnoteAnchor">
    <w:name w:val="Footnote Anchor"/>
    <w:rsid w:val="00CD71AF"/>
    <w:rPr>
      <w:vertAlign w:val="superscript"/>
    </w:rPr>
  </w:style>
  <w:style w:type="paragraph" w:styleId="Textonotapie">
    <w:name w:val="footnote text"/>
    <w:basedOn w:val="Normal"/>
    <w:link w:val="TextonotapieCar"/>
    <w:uiPriority w:val="99"/>
    <w:qFormat/>
    <w:rsid w:val="00CD71AF"/>
    <w:pPr>
      <w:spacing w:line="240" w:lineRule="auto"/>
    </w:pPr>
    <w:rPr>
      <w:rFonts w:ascii="Times New Roman" w:eastAsia="Times New Roman" w:hAnsi="Times New Roman" w:cs="Times New Roman"/>
      <w:szCs w:val="20"/>
      <w:lang w:val="nl-NL" w:eastAsia="nl-NL"/>
    </w:rPr>
  </w:style>
  <w:style w:type="character" w:customStyle="1" w:styleId="VoetnoottekstChar1">
    <w:name w:val="Voetnoottekst Char1"/>
    <w:basedOn w:val="Fuentedeprrafopredeter"/>
    <w:uiPriority w:val="99"/>
    <w:semiHidden/>
    <w:rsid w:val="00CD71AF"/>
    <w:rPr>
      <w:sz w:val="20"/>
      <w:szCs w:val="20"/>
      <w:lang w:val="en-US"/>
    </w:rPr>
  </w:style>
  <w:style w:type="paragraph" w:styleId="Prrafodelista">
    <w:name w:val="List Paragraph"/>
    <w:basedOn w:val="Normal"/>
    <w:link w:val="PrrafodelistaCar"/>
    <w:qFormat/>
    <w:rsid w:val="00CD71AF"/>
    <w:pPr>
      <w:ind w:left="720"/>
      <w:contextualSpacing/>
    </w:pPr>
    <w:rPr>
      <w:rFonts w:eastAsiaTheme="minorEastAsia"/>
      <w:color w:val="00000A"/>
      <w:lang w:val="en-GB"/>
    </w:rPr>
  </w:style>
  <w:style w:type="paragraph" w:customStyle="1" w:styleId="TableContents">
    <w:name w:val="Table Contents"/>
    <w:basedOn w:val="Normal"/>
    <w:qFormat/>
    <w:rsid w:val="00CD71AF"/>
    <w:rPr>
      <w:rFonts w:eastAsiaTheme="minorEastAsia"/>
      <w:color w:val="00000A"/>
      <w:lang w:val="en-GB"/>
    </w:rPr>
  </w:style>
  <w:style w:type="character" w:customStyle="1" w:styleId="PrrafodelistaCar">
    <w:name w:val="Párrafo de lista Car"/>
    <w:link w:val="Prrafodelista"/>
    <w:qFormat/>
    <w:rsid w:val="00CD71AF"/>
    <w:rPr>
      <w:rFonts w:ascii="Calibri" w:eastAsiaTheme="minorEastAsia" w:hAnsi="Calibri"/>
      <w:color w:val="00000A"/>
      <w:lang w:val="en-GB"/>
    </w:rPr>
  </w:style>
  <w:style w:type="paragraph" w:styleId="Piedepgina">
    <w:name w:val="footer"/>
    <w:basedOn w:val="Normal"/>
    <w:link w:val="PiedepginaCar"/>
    <w:uiPriority w:val="99"/>
    <w:unhideWhenUsed/>
    <w:rsid w:val="00CD71AF"/>
    <w:pPr>
      <w:tabs>
        <w:tab w:val="center" w:pos="4536"/>
        <w:tab w:val="right" w:pos="9072"/>
      </w:tabs>
      <w:spacing w:line="240" w:lineRule="auto"/>
    </w:pPr>
  </w:style>
  <w:style w:type="character" w:customStyle="1" w:styleId="PiedepginaCar">
    <w:name w:val="Pie de página Car"/>
    <w:basedOn w:val="Fuentedeprrafopredeter"/>
    <w:link w:val="Piedepgina"/>
    <w:uiPriority w:val="99"/>
    <w:rsid w:val="00CD71AF"/>
    <w:rPr>
      <w:sz w:val="20"/>
      <w:lang w:val="en-US"/>
    </w:rPr>
  </w:style>
  <w:style w:type="character" w:customStyle="1" w:styleId="TtuloCar">
    <w:name w:val="Título Car"/>
    <w:basedOn w:val="Fuentedeprrafopredeter"/>
    <w:link w:val="Ttulo"/>
    <w:uiPriority w:val="10"/>
    <w:rsid w:val="00B75C16"/>
    <w:rPr>
      <w:rFonts w:asciiTheme="majorHAnsi" w:eastAsiaTheme="majorEastAsia" w:hAnsiTheme="majorHAnsi" w:cstheme="majorBidi"/>
      <w:b/>
      <w:color w:val="000000" w:themeColor="text1"/>
      <w:spacing w:val="-10"/>
      <w:kern w:val="28"/>
      <w:sz w:val="32"/>
      <w:szCs w:val="32"/>
      <w:lang w:val="en-GB"/>
    </w:rPr>
  </w:style>
  <w:style w:type="character" w:customStyle="1" w:styleId="Ttulo2Car">
    <w:name w:val="Título 2 Car"/>
    <w:basedOn w:val="Fuentedeprrafopredeter"/>
    <w:link w:val="Ttulo2"/>
    <w:uiPriority w:val="9"/>
    <w:rsid w:val="001F03FB"/>
    <w:rPr>
      <w:rFonts w:asciiTheme="majorHAnsi" w:eastAsiaTheme="majorEastAsia" w:hAnsiTheme="majorHAnsi" w:cstheme="majorBidi"/>
      <w:b/>
      <w:color w:val="1F4E79" w:themeColor="accent1" w:themeShade="80"/>
      <w:sz w:val="28"/>
      <w:szCs w:val="32"/>
      <w:lang w:val="en-GB"/>
    </w:rPr>
  </w:style>
  <w:style w:type="character" w:customStyle="1" w:styleId="Ttulo3Car">
    <w:name w:val="Título 3 Car"/>
    <w:basedOn w:val="Fuentedeprrafopredeter"/>
    <w:link w:val="Ttulo3"/>
    <w:uiPriority w:val="9"/>
    <w:rsid w:val="002A7797"/>
    <w:rPr>
      <w:rFonts w:asciiTheme="majorHAnsi" w:eastAsiaTheme="majorEastAsia" w:hAnsiTheme="majorHAnsi" w:cstheme="majorBidi"/>
      <w:b/>
      <w:color w:val="1F4D78" w:themeColor="accent1" w:themeShade="7F"/>
      <w:sz w:val="24"/>
      <w:szCs w:val="24"/>
      <w:lang w:val="en-US"/>
    </w:rPr>
  </w:style>
  <w:style w:type="paragraph" w:styleId="Sinespaciado">
    <w:name w:val="No Spacing"/>
    <w:link w:val="SinespaciadoCar"/>
    <w:uiPriority w:val="1"/>
    <w:qFormat/>
    <w:rsid w:val="00BD67CB"/>
    <w:pPr>
      <w:spacing w:line="240" w:lineRule="auto"/>
    </w:pPr>
    <w:rPr>
      <w:rFonts w:ascii="Century Gothic" w:eastAsiaTheme="minorEastAsia" w:hAnsi="Century Gothic"/>
      <w:sz w:val="20"/>
    </w:rPr>
  </w:style>
  <w:style w:type="character" w:customStyle="1" w:styleId="SinespaciadoCar">
    <w:name w:val="Sin espaciado Car"/>
    <w:basedOn w:val="Fuentedeprrafopredeter"/>
    <w:link w:val="Sinespaciado"/>
    <w:uiPriority w:val="1"/>
    <w:rsid w:val="00BD67CB"/>
    <w:rPr>
      <w:rFonts w:ascii="Century Gothic" w:eastAsiaTheme="minorEastAsia" w:hAnsi="Century Gothic"/>
      <w:sz w:val="20"/>
      <w:lang w:val="en-US"/>
    </w:rPr>
  </w:style>
  <w:style w:type="paragraph" w:customStyle="1" w:styleId="Body">
    <w:name w:val="Body"/>
    <w:rsid w:val="00BD67CB"/>
    <w:pPr>
      <w:pBdr>
        <w:top w:val="nil"/>
        <w:left w:val="nil"/>
        <w:bottom w:val="nil"/>
        <w:right w:val="nil"/>
        <w:between w:val="nil"/>
        <w:bar w:val="nil"/>
      </w:pBdr>
    </w:pPr>
    <w:rPr>
      <w:rFonts w:eastAsia="Arial Unicode MS" w:cs="Arial Unicode MS"/>
      <w:color w:val="000000"/>
      <w:u w:color="000000"/>
      <w:bdr w:val="nil"/>
    </w:rPr>
  </w:style>
  <w:style w:type="paragraph" w:styleId="Encabezado">
    <w:name w:val="header"/>
    <w:basedOn w:val="Normal"/>
    <w:link w:val="EncabezadoCar"/>
    <w:uiPriority w:val="99"/>
    <w:unhideWhenUsed/>
    <w:rsid w:val="0082765B"/>
    <w:pPr>
      <w:tabs>
        <w:tab w:val="center" w:pos="4536"/>
        <w:tab w:val="right" w:pos="9072"/>
      </w:tabs>
      <w:spacing w:line="240" w:lineRule="auto"/>
    </w:pPr>
  </w:style>
  <w:style w:type="character" w:customStyle="1" w:styleId="EncabezadoCar">
    <w:name w:val="Encabezado Car"/>
    <w:basedOn w:val="Fuentedeprrafopredeter"/>
    <w:link w:val="Encabezado"/>
    <w:uiPriority w:val="99"/>
    <w:rsid w:val="0082765B"/>
    <w:rPr>
      <w:lang w:val="en-US"/>
    </w:rPr>
  </w:style>
  <w:style w:type="table" w:customStyle="1" w:styleId="Tabelraster1">
    <w:name w:val="Tabelraster1"/>
    <w:basedOn w:val="Tablanormal"/>
    <w:next w:val="Tablaconcuadrcula"/>
    <w:uiPriority w:val="39"/>
    <w:rsid w:val="003A5952"/>
    <w:pPr>
      <w:spacing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771BC4"/>
    <w:pPr>
      <w:spacing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71BC4"/>
    <w:rPr>
      <w:rFonts w:ascii="Segoe UI" w:hAnsi="Segoe UI" w:cs="Segoe UI"/>
      <w:sz w:val="18"/>
      <w:szCs w:val="18"/>
      <w:lang w:val="en-US"/>
    </w:rPr>
  </w:style>
  <w:style w:type="character" w:styleId="Refdecomentario">
    <w:name w:val="annotation reference"/>
    <w:basedOn w:val="Fuentedeprrafopredeter"/>
    <w:uiPriority w:val="99"/>
    <w:semiHidden/>
    <w:unhideWhenUsed/>
    <w:rsid w:val="007A7E5B"/>
    <w:rPr>
      <w:sz w:val="16"/>
      <w:szCs w:val="16"/>
    </w:rPr>
  </w:style>
  <w:style w:type="paragraph" w:styleId="Textocomentario">
    <w:name w:val="annotation text"/>
    <w:basedOn w:val="Normal"/>
    <w:link w:val="TextocomentarioCar"/>
    <w:uiPriority w:val="99"/>
    <w:semiHidden/>
    <w:unhideWhenUsed/>
    <w:rsid w:val="007A7E5B"/>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7A7E5B"/>
    <w:rPr>
      <w:sz w:val="20"/>
      <w:szCs w:val="20"/>
      <w:lang w:val="en-US"/>
    </w:rPr>
  </w:style>
  <w:style w:type="paragraph" w:styleId="Asuntodelcomentario">
    <w:name w:val="annotation subject"/>
    <w:basedOn w:val="Textocomentario"/>
    <w:next w:val="Textocomentario"/>
    <w:link w:val="AsuntodelcomentarioCar"/>
    <w:uiPriority w:val="99"/>
    <w:semiHidden/>
    <w:unhideWhenUsed/>
    <w:rsid w:val="007A7E5B"/>
    <w:rPr>
      <w:b/>
      <w:bCs/>
    </w:rPr>
  </w:style>
  <w:style w:type="character" w:customStyle="1" w:styleId="AsuntodelcomentarioCar">
    <w:name w:val="Asunto del comentario Car"/>
    <w:basedOn w:val="TextocomentarioCar"/>
    <w:link w:val="Asuntodelcomentario"/>
    <w:uiPriority w:val="99"/>
    <w:semiHidden/>
    <w:rsid w:val="007A7E5B"/>
    <w:rPr>
      <w:b/>
      <w:bCs/>
      <w:sz w:val="20"/>
      <w:szCs w:val="20"/>
      <w:lang w:val="en-US"/>
    </w:r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anormal"/>
    <w:pPr>
      <w:spacing w:line="240" w:lineRule="auto"/>
    </w:pPr>
    <w:rPr>
      <w:sz w:val="20"/>
      <w:szCs w:val="20"/>
    </w:rPr>
    <w:tblPr>
      <w:tblStyleRowBandSize w:val="1"/>
      <w:tblStyleColBandSize w:val="1"/>
      <w:tblCellMar>
        <w:left w:w="98" w:type="dxa"/>
      </w:tblCellMar>
    </w:tblPr>
  </w:style>
  <w:style w:type="table" w:customStyle="1" w:styleId="a0">
    <w:basedOn w:val="Tablanormal"/>
    <w:tblPr>
      <w:tblStyleRowBandSize w:val="1"/>
      <w:tblStyleColBandSize w:val="1"/>
      <w:tblCellMar>
        <w:left w:w="70" w:type="dxa"/>
        <w:right w:w="70" w:type="dxa"/>
      </w:tblCellMar>
    </w:tblPr>
  </w:style>
  <w:style w:type="table" w:customStyle="1" w:styleId="a1">
    <w:basedOn w:val="Tablanormal"/>
    <w:tblPr>
      <w:tblStyleRowBandSize w:val="1"/>
      <w:tblStyleColBandSize w:val="1"/>
      <w:tblCellMar>
        <w:left w:w="70" w:type="dxa"/>
        <w:right w:w="70" w:type="dxa"/>
      </w:tblCellMar>
    </w:tblPr>
  </w:style>
  <w:style w:type="table" w:customStyle="1" w:styleId="a2">
    <w:basedOn w:val="Tablanormal"/>
    <w:pPr>
      <w:spacing w:line="240" w:lineRule="auto"/>
    </w:pPr>
    <w:rPr>
      <w:sz w:val="20"/>
      <w:szCs w:val="20"/>
    </w:rPr>
    <w:tblPr>
      <w:tblStyleRowBandSize w:val="1"/>
      <w:tblStyleColBandSize w:val="1"/>
      <w:tblCellMar>
        <w:left w:w="98" w:type="dxa"/>
      </w:tblCellMar>
    </w:tblPr>
  </w:style>
  <w:style w:type="table" w:customStyle="1" w:styleId="a3">
    <w:basedOn w:val="Tablanormal"/>
    <w:pPr>
      <w:spacing w:line="240" w:lineRule="auto"/>
    </w:pPr>
    <w:rPr>
      <w:sz w:val="20"/>
      <w:szCs w:val="20"/>
    </w:rPr>
    <w:tblPr>
      <w:tblStyleRowBandSize w:val="1"/>
      <w:tblStyleColBandSize w:val="1"/>
    </w:tblPr>
  </w:style>
  <w:style w:type="table" w:customStyle="1" w:styleId="a4">
    <w:basedOn w:val="Tablanormal"/>
    <w:pPr>
      <w:spacing w:line="240" w:lineRule="auto"/>
    </w:pPr>
    <w:rPr>
      <w:sz w:val="20"/>
      <w:szCs w:val="20"/>
    </w:rPr>
    <w:tblPr>
      <w:tblStyleRowBandSize w:val="1"/>
      <w:tblStyleColBandSize w:val="1"/>
    </w:tblPr>
  </w:style>
  <w:style w:type="table" w:customStyle="1" w:styleId="a5">
    <w:basedOn w:val="Tablanormal"/>
    <w:pPr>
      <w:spacing w:line="240" w:lineRule="auto"/>
    </w:pPr>
    <w:rPr>
      <w:sz w:val="20"/>
      <w:szCs w:val="20"/>
    </w:rPr>
    <w:tblPr>
      <w:tblStyleRowBandSize w:val="1"/>
      <w:tblStyleColBandSize w:val="1"/>
      <w:tblCellMar>
        <w:left w:w="103" w:type="dxa"/>
      </w:tblCellMar>
    </w:tblPr>
  </w:style>
  <w:style w:type="table" w:customStyle="1" w:styleId="a6">
    <w:basedOn w:val="Tablanormal"/>
    <w:pPr>
      <w:spacing w:line="240" w:lineRule="auto"/>
    </w:pPr>
    <w:rPr>
      <w:sz w:val="20"/>
      <w:szCs w:val="20"/>
    </w:rPr>
    <w:tblPr>
      <w:tblStyleRowBandSize w:val="1"/>
      <w:tblStyleColBandSize w:val="1"/>
      <w:tblCellMar>
        <w:left w:w="103" w:type="dxa"/>
      </w:tblCellMar>
    </w:tblPr>
  </w:style>
  <w:style w:type="table" w:customStyle="1" w:styleId="a7">
    <w:basedOn w:val="Tablanormal"/>
    <w:pPr>
      <w:spacing w:line="240" w:lineRule="auto"/>
    </w:pPr>
    <w:rPr>
      <w:sz w:val="20"/>
      <w:szCs w:val="20"/>
    </w:rPr>
    <w:tblPr>
      <w:tblStyleRowBandSize w:val="1"/>
      <w:tblStyleColBandSize w:val="1"/>
      <w:tblCellMar>
        <w:left w:w="103" w:type="dxa"/>
      </w:tblCellMar>
    </w:tblPr>
  </w:style>
  <w:style w:type="table" w:customStyle="1" w:styleId="a8">
    <w:basedOn w:val="Tablanormal"/>
    <w:pPr>
      <w:spacing w:line="240" w:lineRule="auto"/>
    </w:pPr>
    <w:rPr>
      <w:sz w:val="20"/>
      <w:szCs w:val="20"/>
    </w:rPr>
    <w:tblPr>
      <w:tblStyleRowBandSize w:val="1"/>
      <w:tblStyleColBandSize w:val="1"/>
    </w:tblPr>
  </w:style>
  <w:style w:type="table" w:customStyle="1" w:styleId="a9">
    <w:basedOn w:val="TableNormal0"/>
    <w:pPr>
      <w:spacing w:line="240" w:lineRule="auto"/>
    </w:pPr>
    <w:rPr>
      <w:sz w:val="20"/>
      <w:szCs w:val="20"/>
    </w:rPr>
    <w:tblPr>
      <w:tblStyleRowBandSize w:val="1"/>
      <w:tblStyleColBandSize w:val="1"/>
      <w:tblCellMar>
        <w:left w:w="108" w:type="dxa"/>
        <w:right w:w="108" w:type="dxa"/>
      </w:tblCellMar>
    </w:tblPr>
  </w:style>
  <w:style w:type="table" w:customStyle="1" w:styleId="aa">
    <w:basedOn w:val="TableNormal0"/>
    <w:tblPr>
      <w:tblStyleRowBandSize w:val="1"/>
      <w:tblStyleColBandSize w:val="1"/>
      <w:tblCellMar>
        <w:left w:w="70" w:type="dxa"/>
        <w:right w:w="70" w:type="dxa"/>
      </w:tblCellMar>
    </w:tblPr>
  </w:style>
  <w:style w:type="table" w:customStyle="1" w:styleId="ab">
    <w:basedOn w:val="TableNormal0"/>
    <w:pPr>
      <w:spacing w:line="240" w:lineRule="auto"/>
    </w:pPr>
    <w:rPr>
      <w:sz w:val="20"/>
      <w:szCs w:val="20"/>
    </w:rPr>
    <w:tblPr>
      <w:tblStyleRowBandSize w:val="1"/>
      <w:tblStyleColBandSize w:val="1"/>
      <w:tblCellMar>
        <w:left w:w="108" w:type="dxa"/>
        <w:right w:w="108" w:type="dxa"/>
      </w:tblCellMar>
    </w:tblPr>
  </w:style>
  <w:style w:type="table" w:customStyle="1" w:styleId="ac">
    <w:basedOn w:val="TableNormal0"/>
    <w:pPr>
      <w:spacing w:line="240" w:lineRule="auto"/>
    </w:pPr>
    <w:rPr>
      <w:sz w:val="20"/>
      <w:szCs w:val="20"/>
    </w:rPr>
    <w:tblPr>
      <w:tblStyleRowBandSize w:val="1"/>
      <w:tblStyleColBandSize w:val="1"/>
      <w:tblCellMar>
        <w:left w:w="108" w:type="dxa"/>
        <w:right w:w="108" w:type="dxa"/>
      </w:tblCellMar>
    </w:tblPr>
  </w:style>
  <w:style w:type="table" w:customStyle="1" w:styleId="ad">
    <w:basedOn w:val="TableNormal0"/>
    <w:pPr>
      <w:spacing w:line="240" w:lineRule="auto"/>
    </w:pPr>
    <w:rPr>
      <w:sz w:val="20"/>
      <w:szCs w:val="20"/>
    </w:rPr>
    <w:tblPr>
      <w:tblStyleRowBandSize w:val="1"/>
      <w:tblStyleColBandSize w:val="1"/>
      <w:tblCellMar>
        <w:left w:w="108" w:type="dxa"/>
        <w:right w:w="108" w:type="dxa"/>
      </w:tblCellMar>
    </w:tblPr>
  </w:style>
  <w:style w:type="table" w:customStyle="1" w:styleId="ae">
    <w:basedOn w:val="TableNormal0"/>
    <w:pPr>
      <w:spacing w:line="240" w:lineRule="auto"/>
    </w:pPr>
    <w:rPr>
      <w:sz w:val="20"/>
      <w:szCs w:val="20"/>
    </w:rPr>
    <w:tblPr>
      <w:tblStyleRowBandSize w:val="1"/>
      <w:tblStyleColBandSize w:val="1"/>
      <w:tblCellMar>
        <w:left w:w="108" w:type="dxa"/>
        <w:right w:w="108" w:type="dxa"/>
      </w:tblCellMar>
    </w:tblPr>
  </w:style>
  <w:style w:type="table" w:customStyle="1" w:styleId="af">
    <w:basedOn w:val="TableNormal0"/>
    <w:pPr>
      <w:spacing w:line="240" w:lineRule="auto"/>
    </w:pPr>
    <w:rPr>
      <w:sz w:val="20"/>
      <w:szCs w:val="20"/>
    </w:rPr>
    <w:tblPr>
      <w:tblStyleRowBandSize w:val="1"/>
      <w:tblStyleColBandSize w:val="1"/>
      <w:tblCellMar>
        <w:left w:w="108" w:type="dxa"/>
        <w:right w:w="108" w:type="dxa"/>
      </w:tblCellMar>
    </w:tblPr>
  </w:style>
  <w:style w:type="table" w:customStyle="1" w:styleId="af0">
    <w:basedOn w:val="TableNormal0"/>
    <w:pPr>
      <w:spacing w:line="240" w:lineRule="auto"/>
    </w:pPr>
    <w:rPr>
      <w:sz w:val="20"/>
      <w:szCs w:val="20"/>
    </w:rPr>
    <w:tblPr>
      <w:tblStyleRowBandSize w:val="1"/>
      <w:tblStyleColBandSize w:val="1"/>
      <w:tblCellMar>
        <w:left w:w="108" w:type="dxa"/>
        <w:right w:w="108" w:type="dxa"/>
      </w:tblCellMar>
    </w:tblPr>
  </w:style>
  <w:style w:type="table" w:customStyle="1" w:styleId="af1">
    <w:basedOn w:val="TableNormal0"/>
    <w:pPr>
      <w:spacing w:line="240" w:lineRule="auto"/>
    </w:pPr>
    <w:rPr>
      <w:sz w:val="20"/>
      <w:szCs w:val="20"/>
    </w:rPr>
    <w:tblPr>
      <w:tblStyleRowBandSize w:val="1"/>
      <w:tblStyleColBandSize w:val="1"/>
      <w:tblCellMar>
        <w:left w:w="108" w:type="dxa"/>
        <w:right w:w="108" w:type="dxa"/>
      </w:tblCellMar>
    </w:tblPr>
  </w:style>
  <w:style w:type="table" w:customStyle="1" w:styleId="af2">
    <w:basedOn w:val="TableNormal0"/>
    <w:pPr>
      <w:spacing w:line="240" w:lineRule="auto"/>
    </w:pPr>
    <w:rPr>
      <w:sz w:val="20"/>
      <w:szCs w:val="20"/>
    </w:rPr>
    <w:tblPr>
      <w:tblStyleRowBandSize w:val="1"/>
      <w:tblStyleColBandSize w:val="1"/>
      <w:tblCellMar>
        <w:left w:w="108" w:type="dxa"/>
        <w:right w:w="108" w:type="dxa"/>
      </w:tblCellMar>
    </w:tblPr>
  </w:style>
  <w:style w:type="table" w:customStyle="1" w:styleId="af3">
    <w:basedOn w:val="TableNormal0"/>
    <w:pPr>
      <w:spacing w:line="240" w:lineRule="auto"/>
    </w:pPr>
    <w:rPr>
      <w:sz w:val="20"/>
      <w:szCs w:val="20"/>
    </w:rPr>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sjYGqa42NtNLtomfVOVhSImn5yw==">AMUW2mXtPOZHAqwgQNCbt5Z0In5XJe9gr5zTNVME1MQbSiXNr/ymILoJbEzA1EJN7bpOTdG0cMU8TN9QYT/WK65UWdEm+AiosUiOhftWGeB9KMK7XtPuEstyFbxf920VS5MIoLWur/uuqxogiWKbQPbFccF5bhZMbw==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29</Pages>
  <Words>7369</Words>
  <Characters>42005</Characters>
  <Application>Microsoft Office Word</Application>
  <DocSecurity>0</DocSecurity>
  <Lines>350</Lines>
  <Paragraphs>98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49276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Trudi van Ingen</dc:creator>
  <cp:lastModifiedBy>Charlotte</cp:lastModifiedBy>
  <cp:revision>2</cp:revision>
  <dcterms:created xsi:type="dcterms:W3CDTF">2019-12-11T03:48:00Z</dcterms:created>
  <dcterms:modified xsi:type="dcterms:W3CDTF">2019-12-11T03:48:00Z</dcterms:modified>
</cp:coreProperties>
</file>