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25" w:rsidRDefault="004A1325" w:rsidP="004A1325">
      <w:pPr>
        <w:rPr>
          <w:bCs/>
        </w:rPr>
      </w:pPr>
      <w:r w:rsidRPr="002A37DD">
        <w:rPr>
          <w:b/>
          <w:sz w:val="28"/>
          <w:szCs w:val="28"/>
        </w:rPr>
        <w:t>Programme Partnership Arrangement (PPA)</w:t>
      </w:r>
      <w:r>
        <w:rPr>
          <w:b/>
          <w:sz w:val="28"/>
          <w:szCs w:val="28"/>
        </w:rPr>
        <w:t xml:space="preserve"> – Department for International Development</w:t>
      </w:r>
    </w:p>
    <w:p w:rsidR="004A1325" w:rsidRDefault="004A1325" w:rsidP="004A1325">
      <w:pPr>
        <w:rPr>
          <w:bCs/>
        </w:rPr>
      </w:pPr>
    </w:p>
    <w:p w:rsidR="004A1325" w:rsidRPr="00FA3186" w:rsidRDefault="004A1325" w:rsidP="004A1325">
      <w:pPr>
        <w:rPr>
          <w:bCs/>
        </w:rPr>
      </w:pPr>
      <w:r w:rsidRPr="00FA3186">
        <w:rPr>
          <w:bCs/>
        </w:rPr>
        <w:t xml:space="preserve">Saferworld’s </w:t>
      </w:r>
      <w:r w:rsidRPr="00FA3186">
        <w:rPr>
          <w:b/>
          <w:bCs/>
        </w:rPr>
        <w:t xml:space="preserve">vision </w:t>
      </w:r>
      <w:r w:rsidRPr="00FA3186">
        <w:rPr>
          <w:bCs/>
        </w:rPr>
        <w:t xml:space="preserve">is that everyone should be able to lead peaceful fulfilling lives, free from insecurity and violent conflict, and this is encapsulated in our </w:t>
      </w:r>
      <w:r w:rsidRPr="00FA3186">
        <w:rPr>
          <w:b/>
          <w:bCs/>
        </w:rPr>
        <w:t>mission</w:t>
      </w:r>
      <w:r w:rsidRPr="00FA3186">
        <w:rPr>
          <w:bCs/>
        </w:rPr>
        <w:t>: Saferworld works to prevent and reduce violent conflict and promote cooperative approaches to security. We work with governments, international organisations and civil society to encourage and support effective policies and practices through advocacy, research and policy development and through supporting the actions of others.</w:t>
      </w:r>
      <w:r>
        <w:rPr>
          <w:bCs/>
        </w:rPr>
        <w:t xml:space="preserve"> Our ultimate focus is to reduce the impact of conflict and insecurity on the poorest and most vulnerable in society.</w:t>
      </w:r>
    </w:p>
    <w:p w:rsidR="004A1325" w:rsidRPr="00FA3186" w:rsidRDefault="004A1325" w:rsidP="004A1325">
      <w:pPr>
        <w:rPr>
          <w:bCs/>
        </w:rPr>
      </w:pPr>
    </w:p>
    <w:p w:rsidR="004A1325" w:rsidRPr="00FA3186" w:rsidRDefault="004A1325" w:rsidP="004A1325">
      <w:pPr>
        <w:rPr>
          <w:bCs/>
        </w:rPr>
      </w:pPr>
      <w:r w:rsidRPr="00FA3186">
        <w:rPr>
          <w:bCs/>
        </w:rPr>
        <w:t>We</w:t>
      </w:r>
      <w:r>
        <w:rPr>
          <w:bCs/>
        </w:rPr>
        <w:t xml:space="preserve"> w</w:t>
      </w:r>
      <w:r w:rsidRPr="00FA3186">
        <w:rPr>
          <w:bCs/>
        </w:rPr>
        <w:t xml:space="preserve">ork at the intersection of </w:t>
      </w:r>
      <w:r>
        <w:rPr>
          <w:bCs/>
        </w:rPr>
        <w:t xml:space="preserve">conflict, </w:t>
      </w:r>
      <w:r w:rsidRPr="00FA3186">
        <w:rPr>
          <w:bCs/>
        </w:rPr>
        <w:t xml:space="preserve">security and development. Our programmatic work is almost always in </w:t>
      </w:r>
      <w:r w:rsidRPr="00FA3186">
        <w:rPr>
          <w:bCs/>
          <w:u w:val="single"/>
        </w:rPr>
        <w:t>fragile and conflict-affected states</w:t>
      </w:r>
      <w:r w:rsidRPr="00FA3186">
        <w:rPr>
          <w:bCs/>
        </w:rPr>
        <w:t xml:space="preserve">, while our policy and advocacy work seeks to </w:t>
      </w:r>
      <w:r w:rsidRPr="00FA3186">
        <w:rPr>
          <w:bCs/>
          <w:u w:val="single"/>
        </w:rPr>
        <w:t xml:space="preserve">improve international policy and programming regarding </w:t>
      </w:r>
      <w:r>
        <w:rPr>
          <w:bCs/>
          <w:u w:val="single"/>
        </w:rPr>
        <w:t xml:space="preserve">conflict, </w:t>
      </w:r>
      <w:r w:rsidRPr="00FA3186">
        <w:rPr>
          <w:bCs/>
          <w:u w:val="single"/>
        </w:rPr>
        <w:t>security and development</w:t>
      </w:r>
      <w:r w:rsidRPr="00FA3186">
        <w:rPr>
          <w:bCs/>
        </w:rPr>
        <w:t xml:space="preserve"> in such contexts.  In order to achieve this vision, we work towards meeting three ‘peace conditions’ that will ultimately allow people to lead peaceful, fulfilling lives. These can also be expressed as Saferworld’s </w:t>
      </w:r>
      <w:r w:rsidRPr="00FA3186">
        <w:rPr>
          <w:b/>
          <w:bCs/>
        </w:rPr>
        <w:t>strategic objectives</w:t>
      </w:r>
      <w:r w:rsidRPr="00FA3186">
        <w:rPr>
          <w:bCs/>
        </w:rPr>
        <w:t xml:space="preserve">, </w:t>
      </w:r>
      <w:proofErr w:type="gramStart"/>
      <w:r w:rsidRPr="00FA3186">
        <w:rPr>
          <w:bCs/>
          <w:i/>
        </w:rPr>
        <w:t>To</w:t>
      </w:r>
      <w:proofErr w:type="gramEnd"/>
      <w:r w:rsidRPr="00FA3186">
        <w:rPr>
          <w:bCs/>
          <w:i/>
        </w:rPr>
        <w:t xml:space="preserve"> promote conditions in </w:t>
      </w:r>
      <w:r>
        <w:rPr>
          <w:bCs/>
          <w:i/>
        </w:rPr>
        <w:t>every country in which</w:t>
      </w:r>
      <w:r w:rsidRPr="00FA3186">
        <w:rPr>
          <w:bCs/>
          <w:i/>
        </w:rPr>
        <w:t xml:space="preserve"> we work, and globally, whereby: </w:t>
      </w:r>
    </w:p>
    <w:p w:rsidR="004A1325" w:rsidRPr="00FA3186" w:rsidRDefault="004A1325" w:rsidP="004A1325">
      <w:pPr>
        <w:numPr>
          <w:ilvl w:val="0"/>
          <w:numId w:val="1"/>
        </w:numPr>
        <w:rPr>
          <w:bCs/>
        </w:rPr>
      </w:pPr>
      <w:r w:rsidRPr="00FA3186">
        <w:rPr>
          <w:bCs/>
        </w:rPr>
        <w:t>…</w:t>
      </w:r>
      <w:r w:rsidRPr="00FA3186">
        <w:rPr>
          <w:bCs/>
          <w:i/>
        </w:rPr>
        <w:t xml:space="preserve"> people are free from fear and insecurity</w:t>
      </w:r>
    </w:p>
    <w:p w:rsidR="004A1325" w:rsidRPr="00FA3186" w:rsidRDefault="004A1325" w:rsidP="004A1325">
      <w:pPr>
        <w:numPr>
          <w:ilvl w:val="0"/>
          <w:numId w:val="1"/>
        </w:numPr>
        <w:rPr>
          <w:bCs/>
        </w:rPr>
      </w:pPr>
      <w:r w:rsidRPr="00FA3186">
        <w:rPr>
          <w:bCs/>
        </w:rPr>
        <w:t xml:space="preserve">… </w:t>
      </w:r>
      <w:r w:rsidRPr="00FA3186">
        <w:rPr>
          <w:bCs/>
          <w:i/>
        </w:rPr>
        <w:t>people have fair and effective paths to address their grievances</w:t>
      </w:r>
    </w:p>
    <w:p w:rsidR="004A1325" w:rsidRPr="007E63DB" w:rsidRDefault="004A1325" w:rsidP="004A1325">
      <w:pPr>
        <w:numPr>
          <w:ilvl w:val="0"/>
          <w:numId w:val="1"/>
        </w:numPr>
        <w:rPr>
          <w:bCs/>
        </w:rPr>
      </w:pPr>
      <w:r>
        <w:rPr>
          <w:bCs/>
          <w:i/>
        </w:rPr>
        <w:t>…</w:t>
      </w:r>
      <w:r w:rsidRPr="00FA3186">
        <w:rPr>
          <w:bCs/>
          <w:i/>
        </w:rPr>
        <w:t>aid helps people to build peace, not to undermine it</w:t>
      </w:r>
    </w:p>
    <w:p w:rsidR="004A1325" w:rsidRPr="00FA3186" w:rsidRDefault="004A1325" w:rsidP="004A1325">
      <w:pPr>
        <w:ind w:left="360"/>
        <w:rPr>
          <w:bCs/>
        </w:rPr>
      </w:pPr>
    </w:p>
    <w:p w:rsidR="004A1325" w:rsidRPr="00FA3186" w:rsidRDefault="004A1325" w:rsidP="004A1325">
      <w:pPr>
        <w:rPr>
          <w:bCs/>
        </w:rPr>
      </w:pPr>
      <w:r w:rsidRPr="00FA3186">
        <w:rPr>
          <w:bCs/>
        </w:rPr>
        <w:t>We recognise that these are not the only peace conditions, but each is vital to conflict transformation and longer-term development. Relatively few organisations work i</w:t>
      </w:r>
      <w:r>
        <w:rPr>
          <w:bCs/>
        </w:rPr>
        <w:t xml:space="preserve">n these areas, which intersect </w:t>
      </w:r>
      <w:r w:rsidRPr="00FA3186">
        <w:rPr>
          <w:bCs/>
        </w:rPr>
        <w:t xml:space="preserve">development, ‘traditional’ peacebuilding, mainstream rule of law programming and transitional justice; there are even fewer organisations which make appropriate policy and practical linkages with wider development and security programming. Hence it is in these areas that Saferworld occupies a specific niche and makes its most significant contributions to conflict prevention. To achieve these </w:t>
      </w:r>
      <w:r>
        <w:rPr>
          <w:bCs/>
        </w:rPr>
        <w:t xml:space="preserve">strategic </w:t>
      </w:r>
      <w:r w:rsidRPr="00FA3186">
        <w:rPr>
          <w:bCs/>
        </w:rPr>
        <w:t>objectives, we work with four types of actor</w:t>
      </w:r>
      <w:r>
        <w:rPr>
          <w:bCs/>
        </w:rPr>
        <w:t>s and seek results under four categories of</w:t>
      </w:r>
      <w:r w:rsidRPr="00FA3186">
        <w:rPr>
          <w:bCs/>
        </w:rPr>
        <w:t xml:space="preserve"> </w:t>
      </w:r>
      <w:r w:rsidRPr="00FA3186">
        <w:rPr>
          <w:bCs/>
          <w:u w:val="single"/>
        </w:rPr>
        <w:t>outcome</w:t>
      </w:r>
      <w:r w:rsidRPr="00FA3186">
        <w:rPr>
          <w:bCs/>
        </w:rPr>
        <w:t>:</w:t>
      </w:r>
    </w:p>
    <w:p w:rsidR="004A1325" w:rsidRPr="00FA3186" w:rsidRDefault="004A1325" w:rsidP="004A1325">
      <w:pPr>
        <w:numPr>
          <w:ilvl w:val="0"/>
          <w:numId w:val="3"/>
        </w:numPr>
        <w:rPr>
          <w:bCs/>
          <w:i/>
        </w:rPr>
      </w:pPr>
      <w:r w:rsidRPr="00FA3186">
        <w:rPr>
          <w:bCs/>
          <w:i/>
          <w:u w:val="single"/>
        </w:rPr>
        <w:t>Individuals and communities</w:t>
      </w:r>
      <w:r w:rsidRPr="00FA3186">
        <w:rPr>
          <w:bCs/>
          <w:i/>
        </w:rPr>
        <w:t xml:space="preserve"> have the opportunity and capacity to influence </w:t>
      </w:r>
      <w:r>
        <w:rPr>
          <w:bCs/>
          <w:i/>
        </w:rPr>
        <w:t xml:space="preserve">effective responses to </w:t>
      </w:r>
      <w:r w:rsidRPr="00FA3186">
        <w:rPr>
          <w:bCs/>
          <w:i/>
        </w:rPr>
        <w:t xml:space="preserve">conflict and insecurity </w:t>
      </w:r>
      <w:r>
        <w:rPr>
          <w:bCs/>
          <w:i/>
        </w:rPr>
        <w:t>and to promote peace</w:t>
      </w:r>
    </w:p>
    <w:p w:rsidR="004A1325" w:rsidRPr="00FA3186" w:rsidRDefault="004A1325" w:rsidP="004A1325">
      <w:pPr>
        <w:numPr>
          <w:ilvl w:val="0"/>
          <w:numId w:val="3"/>
        </w:numPr>
        <w:rPr>
          <w:bCs/>
          <w:i/>
        </w:rPr>
      </w:pPr>
      <w:r w:rsidRPr="00FA3186">
        <w:rPr>
          <w:bCs/>
          <w:i/>
          <w:u w:val="single"/>
        </w:rPr>
        <w:t>Civil society</w:t>
      </w:r>
      <w:r w:rsidRPr="00FA3186">
        <w:rPr>
          <w:bCs/>
          <w:i/>
        </w:rPr>
        <w:t xml:space="preserve"> plays an active role in influencing authorities and building capacities for peace </w:t>
      </w:r>
    </w:p>
    <w:p w:rsidR="004A1325" w:rsidRPr="00FA3186" w:rsidRDefault="004A1325" w:rsidP="004A1325">
      <w:pPr>
        <w:numPr>
          <w:ilvl w:val="0"/>
          <w:numId w:val="3"/>
        </w:numPr>
        <w:rPr>
          <w:bCs/>
          <w:i/>
        </w:rPr>
      </w:pPr>
      <w:r w:rsidRPr="00FA3186">
        <w:rPr>
          <w:bCs/>
          <w:i/>
          <w:u w:val="single"/>
        </w:rPr>
        <w:t>Authorities</w:t>
      </w:r>
      <w:r w:rsidRPr="00FA3186">
        <w:rPr>
          <w:bCs/>
          <w:i/>
        </w:rPr>
        <w:t xml:space="preserve"> are responsive and accountable to people’s needs and their actions help to build peace </w:t>
      </w:r>
    </w:p>
    <w:p w:rsidR="004A1325" w:rsidRPr="00FA3186" w:rsidRDefault="004A1325" w:rsidP="004A1325">
      <w:pPr>
        <w:numPr>
          <w:ilvl w:val="0"/>
          <w:numId w:val="3"/>
        </w:numPr>
        <w:rPr>
          <w:bCs/>
          <w:i/>
        </w:rPr>
      </w:pPr>
      <w:r w:rsidRPr="00FA3186">
        <w:rPr>
          <w:bCs/>
          <w:i/>
          <w:u w:val="single"/>
        </w:rPr>
        <w:t>External actors</w:t>
      </w:r>
      <w:r w:rsidRPr="00FA3186">
        <w:rPr>
          <w:bCs/>
          <w:i/>
        </w:rPr>
        <w:t xml:space="preserve"> operate in a way that supports peace, including through their engagement on security and justice provision </w:t>
      </w:r>
    </w:p>
    <w:p w:rsidR="004A1325" w:rsidRPr="00FA3186" w:rsidRDefault="004A1325" w:rsidP="004A1325">
      <w:pPr>
        <w:rPr>
          <w:rFonts w:cs="Arial"/>
          <w:sz w:val="20"/>
          <w:szCs w:val="20"/>
          <w:lang w:eastAsia="en-GB"/>
        </w:rPr>
      </w:pPr>
    </w:p>
    <w:p w:rsidR="004A1325" w:rsidRPr="00FA3186" w:rsidRDefault="004A1325" w:rsidP="004A1325">
      <w:pPr>
        <w:rPr>
          <w:bCs/>
        </w:rPr>
      </w:pPr>
      <w:r w:rsidRPr="00FA3186">
        <w:rPr>
          <w:bCs/>
          <w:u w:val="single"/>
        </w:rPr>
        <w:t xml:space="preserve">The specific outcomes for this PPA </w:t>
      </w:r>
      <w:bookmarkStart w:id="0" w:name="_GoBack"/>
      <w:bookmarkEnd w:id="0"/>
      <w:r w:rsidRPr="00FA3186">
        <w:rPr>
          <w:bCs/>
          <w:u w:val="single"/>
        </w:rPr>
        <w:t>are derived from these organisational outcomes</w:t>
      </w:r>
      <w:r w:rsidRPr="00FA3186">
        <w:rPr>
          <w:bCs/>
        </w:rPr>
        <w:t>.</w:t>
      </w:r>
    </w:p>
    <w:p w:rsidR="004A1325" w:rsidRPr="00FA3186" w:rsidRDefault="004A1325" w:rsidP="004A1325">
      <w:pPr>
        <w:rPr>
          <w:bCs/>
        </w:rPr>
      </w:pPr>
    </w:p>
    <w:p w:rsidR="004A1325" w:rsidRPr="00FA3186" w:rsidRDefault="004A1325" w:rsidP="004A1325">
      <w:pPr>
        <w:rPr>
          <w:bCs/>
        </w:rPr>
      </w:pPr>
      <w:r w:rsidRPr="00FA3186">
        <w:rPr>
          <w:bCs/>
        </w:rPr>
        <w:t>To deliver on our objectives, both through our own programming and by seeking positive changes in the polic</w:t>
      </w:r>
      <w:r>
        <w:rPr>
          <w:bCs/>
        </w:rPr>
        <w:t>ies</w:t>
      </w:r>
      <w:r w:rsidRPr="00FA3186">
        <w:rPr>
          <w:bCs/>
        </w:rPr>
        <w:t xml:space="preserve"> and programming of others, we </w:t>
      </w:r>
      <w:r>
        <w:rPr>
          <w:bCs/>
        </w:rPr>
        <w:t xml:space="preserve">group our </w:t>
      </w:r>
      <w:r w:rsidRPr="00FA3186">
        <w:rPr>
          <w:bCs/>
        </w:rPr>
        <w:t>work into three broad categories:</w:t>
      </w:r>
    </w:p>
    <w:p w:rsidR="004A1325" w:rsidRPr="00FA3186" w:rsidRDefault="004A1325" w:rsidP="004A1325">
      <w:pPr>
        <w:numPr>
          <w:ilvl w:val="0"/>
          <w:numId w:val="2"/>
        </w:numPr>
        <w:rPr>
          <w:bCs/>
        </w:rPr>
      </w:pPr>
      <w:r w:rsidRPr="00FA3186">
        <w:rPr>
          <w:bCs/>
          <w:i/>
        </w:rPr>
        <w:t>Security and justice</w:t>
      </w:r>
      <w:r w:rsidRPr="00FA3186">
        <w:rPr>
          <w:bCs/>
        </w:rPr>
        <w:t xml:space="preserve">: Security system reform; community security and community-based policing; </w:t>
      </w:r>
      <w:r>
        <w:rPr>
          <w:bCs/>
        </w:rPr>
        <w:t xml:space="preserve">access to justice; </w:t>
      </w:r>
      <w:r w:rsidRPr="00FA3186">
        <w:rPr>
          <w:bCs/>
        </w:rPr>
        <w:t xml:space="preserve">informal justice mechanisms; </w:t>
      </w:r>
      <w:r>
        <w:rPr>
          <w:bCs/>
        </w:rPr>
        <w:t xml:space="preserve">gender and </w:t>
      </w:r>
      <w:r>
        <w:rPr>
          <w:bCs/>
        </w:rPr>
        <w:lastRenderedPageBreak/>
        <w:t xml:space="preserve">security; </w:t>
      </w:r>
      <w:r w:rsidRPr="00FA3186">
        <w:rPr>
          <w:bCs/>
        </w:rPr>
        <w:t>elections and security; marginalisation and radicalisation</w:t>
      </w:r>
      <w:r>
        <w:rPr>
          <w:bCs/>
        </w:rPr>
        <w:t>; addressing gender violence through security and justice services</w:t>
      </w:r>
    </w:p>
    <w:p w:rsidR="004A1325" w:rsidRPr="00FA3186" w:rsidRDefault="004A1325" w:rsidP="004A1325">
      <w:pPr>
        <w:numPr>
          <w:ilvl w:val="0"/>
          <w:numId w:val="2"/>
        </w:numPr>
        <w:rPr>
          <w:bCs/>
        </w:rPr>
      </w:pPr>
      <w:r w:rsidRPr="00FA3186">
        <w:rPr>
          <w:bCs/>
          <w:i/>
        </w:rPr>
        <w:t>Aid and conflict</w:t>
      </w:r>
      <w:r w:rsidRPr="00FA3186">
        <w:rPr>
          <w:bCs/>
        </w:rPr>
        <w:t xml:space="preserve">: Promoting conflict-sensitive approaches; </w:t>
      </w:r>
      <w:r>
        <w:rPr>
          <w:bCs/>
        </w:rPr>
        <w:t xml:space="preserve">gender analysis in programme development and implementation; </w:t>
      </w:r>
      <w:r w:rsidRPr="00FA3186">
        <w:rPr>
          <w:bCs/>
        </w:rPr>
        <w:t xml:space="preserve">post-conflict security building (incl. DDR); </w:t>
      </w:r>
      <w:proofErr w:type="spellStart"/>
      <w:r w:rsidRPr="00FA3186">
        <w:rPr>
          <w:bCs/>
        </w:rPr>
        <w:t>statebuilding</w:t>
      </w:r>
      <w:proofErr w:type="spellEnd"/>
      <w:r w:rsidRPr="00FA3186">
        <w:rPr>
          <w:bCs/>
        </w:rPr>
        <w:t xml:space="preserve"> and peacebuilding; peacebuilding and the BRICS countries; conflict-sensitive climate change</w:t>
      </w:r>
      <w:r>
        <w:rPr>
          <w:bCs/>
        </w:rPr>
        <w:t xml:space="preserve"> adaptation</w:t>
      </w:r>
      <w:r w:rsidRPr="00FA3186">
        <w:rPr>
          <w:bCs/>
        </w:rPr>
        <w:t xml:space="preserve">; effective programme management (M&amp;E, outsourcing, </w:t>
      </w:r>
      <w:proofErr w:type="spellStart"/>
      <w:r w:rsidRPr="00FA3186">
        <w:rPr>
          <w:bCs/>
        </w:rPr>
        <w:t>etc</w:t>
      </w:r>
      <w:proofErr w:type="spellEnd"/>
      <w:r w:rsidRPr="00FA3186">
        <w:rPr>
          <w:bCs/>
        </w:rPr>
        <w:t>).</w:t>
      </w:r>
    </w:p>
    <w:p w:rsidR="004A1325" w:rsidRPr="00FA3186" w:rsidRDefault="004A1325" w:rsidP="004A1325">
      <w:pPr>
        <w:numPr>
          <w:ilvl w:val="0"/>
          <w:numId w:val="2"/>
        </w:numPr>
        <w:rPr>
          <w:bCs/>
        </w:rPr>
      </w:pPr>
      <w:r w:rsidRPr="00FA3186">
        <w:rPr>
          <w:bCs/>
          <w:i/>
        </w:rPr>
        <w:t>Arms control</w:t>
      </w:r>
      <w:r w:rsidRPr="00FA3186">
        <w:rPr>
          <w:bCs/>
        </w:rPr>
        <w:t>: National, regional and international arms transfer controls; the Arms Trade Treaty; control of small arms and light weapons; reducing the impact of armed violence</w:t>
      </w:r>
    </w:p>
    <w:p w:rsidR="00003364" w:rsidRDefault="004A1325" w:rsidP="004A1325">
      <w:r>
        <w:rPr>
          <w:bCs/>
        </w:rPr>
        <w:t xml:space="preserve">We complement these issue areas by integrating </w:t>
      </w:r>
      <w:r w:rsidRPr="00FA3186">
        <w:rPr>
          <w:bCs/>
        </w:rPr>
        <w:t xml:space="preserve">cross-cutting </w:t>
      </w:r>
      <w:r>
        <w:rPr>
          <w:bCs/>
        </w:rPr>
        <w:t>factors</w:t>
      </w:r>
      <w:r w:rsidRPr="00FA3186">
        <w:rPr>
          <w:bCs/>
        </w:rPr>
        <w:t xml:space="preserve"> such as gender, age, </w:t>
      </w:r>
      <w:r>
        <w:rPr>
          <w:bCs/>
        </w:rPr>
        <w:t xml:space="preserve">marginalisation </w:t>
      </w:r>
      <w:r w:rsidRPr="00FA3186">
        <w:rPr>
          <w:bCs/>
        </w:rPr>
        <w:t>and vulnerability to climate change</w:t>
      </w:r>
      <w:r>
        <w:rPr>
          <w:bCs/>
        </w:rPr>
        <w:t>, according to our country analyses.</w:t>
      </w:r>
    </w:p>
    <w:sectPr w:rsidR="00003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E6BEF"/>
    <w:multiLevelType w:val="hybridMultilevel"/>
    <w:tmpl w:val="E6C6D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64A30579"/>
    <w:multiLevelType w:val="hybridMultilevel"/>
    <w:tmpl w:val="24506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DD17C50"/>
    <w:multiLevelType w:val="hybridMultilevel"/>
    <w:tmpl w:val="92E27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5"/>
    <w:rsid w:val="00003364"/>
    <w:rsid w:val="004A1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2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2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Zingariello</dc:creator>
  <cp:lastModifiedBy>Mina Zingariello</cp:lastModifiedBy>
  <cp:revision>1</cp:revision>
  <dcterms:created xsi:type="dcterms:W3CDTF">2014-03-14T11:48:00Z</dcterms:created>
  <dcterms:modified xsi:type="dcterms:W3CDTF">2014-03-14T11:49:00Z</dcterms:modified>
</cp:coreProperties>
</file>