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6C032" w14:textId="015A217A" w:rsidR="6DFE4E95" w:rsidRDefault="6DFE4E95" w:rsidP="2AE27776">
      <w:pPr>
        <w:pStyle w:val="NoSpacing"/>
      </w:pPr>
    </w:p>
    <w:p w14:paraId="26914D58" w14:textId="3BC8ECAB" w:rsidR="58FB94BF" w:rsidRDefault="58FB94BF" w:rsidP="58FB94BF">
      <w:pPr>
        <w:pStyle w:val="NoSpacing"/>
      </w:pPr>
    </w:p>
    <w:p w14:paraId="74613D2C" w14:textId="0AB6D104" w:rsidR="00F1405D" w:rsidRPr="000B3BBA" w:rsidRDefault="001228AD" w:rsidP="2AE27776">
      <w:pPr>
        <w:spacing w:after="200"/>
        <w:jc w:val="center"/>
        <w:rPr>
          <w:rFonts w:ascii="Times New Roman" w:hAnsi="Times New Roman" w:cs="Times New Roman"/>
          <w:b/>
          <w:bCs/>
          <w:sz w:val="36"/>
          <w:szCs w:val="36"/>
        </w:rPr>
      </w:pPr>
      <w:bookmarkStart w:id="0" w:name="_Int_S6PdIgk4"/>
      <w:r w:rsidRPr="000B3BBA">
        <w:rPr>
          <w:rFonts w:ascii="Times New Roman" w:hAnsi="Times New Roman" w:cs="Times New Roman"/>
          <w:b/>
          <w:bCs/>
          <w:sz w:val="36"/>
          <w:szCs w:val="36"/>
        </w:rPr>
        <w:t>Final reporting</w:t>
      </w:r>
      <w:r w:rsidR="00C811AA" w:rsidRPr="000B3BBA">
        <w:rPr>
          <w:rFonts w:ascii="Times New Roman" w:hAnsi="Times New Roman" w:cs="Times New Roman"/>
          <w:b/>
          <w:bCs/>
          <w:sz w:val="36"/>
          <w:szCs w:val="36"/>
        </w:rPr>
        <w:t xml:space="preserve"> for DRA </w:t>
      </w:r>
      <w:r w:rsidR="00104BDD" w:rsidRPr="000B3BBA">
        <w:rPr>
          <w:rFonts w:ascii="Times New Roman" w:hAnsi="Times New Roman" w:cs="Times New Roman"/>
          <w:b/>
          <w:bCs/>
          <w:sz w:val="36"/>
          <w:szCs w:val="36"/>
        </w:rPr>
        <w:t>Acute</w:t>
      </w:r>
      <w:r w:rsidRPr="000B3BBA">
        <w:rPr>
          <w:rFonts w:ascii="Times New Roman" w:hAnsi="Times New Roman" w:cs="Times New Roman"/>
          <w:b/>
          <w:bCs/>
          <w:sz w:val="36"/>
          <w:szCs w:val="36"/>
        </w:rPr>
        <w:t xml:space="preserve"> Cris</w:t>
      </w:r>
      <w:r w:rsidR="005C511D" w:rsidRPr="000B3BBA">
        <w:rPr>
          <w:rFonts w:ascii="Times New Roman" w:hAnsi="Times New Roman" w:cs="Times New Roman"/>
          <w:b/>
          <w:bCs/>
          <w:sz w:val="36"/>
          <w:szCs w:val="36"/>
        </w:rPr>
        <w:t>e</w:t>
      </w:r>
      <w:r w:rsidRPr="000B3BBA">
        <w:rPr>
          <w:rFonts w:ascii="Times New Roman" w:hAnsi="Times New Roman" w:cs="Times New Roman"/>
          <w:b/>
          <w:bCs/>
          <w:sz w:val="36"/>
          <w:szCs w:val="36"/>
        </w:rPr>
        <w:t>s Joint Responses</w:t>
      </w:r>
      <w:bookmarkEnd w:id="0"/>
    </w:p>
    <w:p w14:paraId="1BCACB51" w14:textId="77777777" w:rsidR="00220761" w:rsidRPr="007865AF" w:rsidRDefault="00220761" w:rsidP="00EC4075">
      <w:pPr>
        <w:pStyle w:val="NoSpacing"/>
        <w:rPr>
          <w:rFonts w:ascii="Lato" w:hAnsi="Lato" w:cstheme="majorBidi"/>
          <w:iCs/>
          <w:sz w:val="22"/>
        </w:rPr>
      </w:pPr>
    </w:p>
    <w:p w14:paraId="0AD09A9E" w14:textId="30100A8B" w:rsidR="005F20D2" w:rsidRPr="007865AF" w:rsidRDefault="000341CD" w:rsidP="005F20D2">
      <w:pPr>
        <w:pStyle w:val="Heading2"/>
        <w:rPr>
          <w:rFonts w:ascii="Lato" w:hAnsi="Lato"/>
          <w:sz w:val="22"/>
          <w:szCs w:val="22"/>
        </w:rPr>
      </w:pPr>
      <w:r w:rsidRPr="007865AF">
        <w:rPr>
          <w:rFonts w:ascii="Lato" w:hAnsi="Lato"/>
          <w:sz w:val="22"/>
          <w:szCs w:val="22"/>
        </w:rPr>
        <w:t>Common Reporting Template</w:t>
      </w:r>
    </w:p>
    <w:tbl>
      <w:tblPr>
        <w:tblStyle w:val="TableGrid"/>
        <w:tblW w:w="0" w:type="auto"/>
        <w:tblLook w:val="04A0" w:firstRow="1" w:lastRow="0" w:firstColumn="1" w:lastColumn="0" w:noHBand="0" w:noVBand="1"/>
      </w:tblPr>
      <w:tblGrid>
        <w:gridCol w:w="3955"/>
        <w:gridCol w:w="5310"/>
      </w:tblGrid>
      <w:tr w:rsidR="002A01C9" w:rsidRPr="007865AF" w14:paraId="33ADA781" w14:textId="77777777" w:rsidTr="4CA2BE91">
        <w:tc>
          <w:tcPr>
            <w:tcW w:w="3955" w:type="dxa"/>
          </w:tcPr>
          <w:p w14:paraId="1159B985" w14:textId="16132C46" w:rsidR="002A01C9" w:rsidRPr="007865AF" w:rsidRDefault="002A01C9" w:rsidP="002A01C9">
            <w:pPr>
              <w:pStyle w:val="NoSpacing"/>
              <w:rPr>
                <w:rFonts w:ascii="Lato" w:hAnsi="Lato" w:cstheme="majorBidi"/>
                <w:iCs/>
                <w:color w:val="auto"/>
                <w:sz w:val="22"/>
              </w:rPr>
            </w:pPr>
            <w:r w:rsidRPr="007865AF">
              <w:rPr>
                <w:rFonts w:ascii="Lato" w:hAnsi="Lato" w:cstheme="majorBidi"/>
                <w:iCs/>
                <w:color w:val="auto"/>
                <w:sz w:val="22"/>
              </w:rPr>
              <w:t>Name of Partner:</w:t>
            </w:r>
          </w:p>
        </w:tc>
        <w:tc>
          <w:tcPr>
            <w:tcW w:w="5310" w:type="dxa"/>
          </w:tcPr>
          <w:p w14:paraId="3A2EE255" w14:textId="75034677" w:rsidR="002A01C9" w:rsidRPr="007865AF" w:rsidRDefault="00914D13" w:rsidP="002A01C9">
            <w:pPr>
              <w:pStyle w:val="NoSpacing"/>
              <w:rPr>
                <w:rFonts w:ascii="Lato" w:hAnsi="Lato" w:cstheme="majorBidi"/>
                <w:b/>
                <w:bCs/>
                <w:iCs/>
                <w:sz w:val="22"/>
              </w:rPr>
            </w:pPr>
            <w:r w:rsidRPr="007865AF">
              <w:rPr>
                <w:rFonts w:ascii="Lato" w:hAnsi="Lato" w:cstheme="majorBidi"/>
                <w:b/>
                <w:bCs/>
                <w:iCs/>
                <w:sz w:val="22"/>
              </w:rPr>
              <w:t>Save The Children International Haiti</w:t>
            </w:r>
          </w:p>
        </w:tc>
      </w:tr>
      <w:tr w:rsidR="00B67312" w:rsidRPr="007865AF" w14:paraId="14976BA1" w14:textId="77777777" w:rsidTr="4CA2BE91">
        <w:tc>
          <w:tcPr>
            <w:tcW w:w="3955" w:type="dxa"/>
          </w:tcPr>
          <w:p w14:paraId="04909FEB" w14:textId="38C40B02" w:rsidR="00B67312" w:rsidRPr="007865AF" w:rsidRDefault="00B67312" w:rsidP="002A01C9">
            <w:pPr>
              <w:pStyle w:val="NoSpacing"/>
              <w:rPr>
                <w:rFonts w:ascii="Lato" w:hAnsi="Lato" w:cstheme="majorBidi"/>
                <w:iCs/>
                <w:color w:val="auto"/>
                <w:sz w:val="22"/>
              </w:rPr>
            </w:pPr>
            <w:r w:rsidRPr="007865AF">
              <w:rPr>
                <w:rFonts w:ascii="Lato" w:hAnsi="Lato" w:cstheme="majorBidi"/>
                <w:iCs/>
                <w:color w:val="auto"/>
                <w:sz w:val="22"/>
              </w:rPr>
              <w:t>Name Local Partners (if applicable):</w:t>
            </w:r>
          </w:p>
        </w:tc>
        <w:tc>
          <w:tcPr>
            <w:tcW w:w="5310" w:type="dxa"/>
          </w:tcPr>
          <w:p w14:paraId="3B53B018" w14:textId="5C923E15" w:rsidR="00B67312" w:rsidRPr="007865AF" w:rsidRDefault="00914D13" w:rsidP="002A01C9">
            <w:pPr>
              <w:pStyle w:val="NoSpacing"/>
              <w:rPr>
                <w:rFonts w:ascii="Lato" w:hAnsi="Lato" w:cstheme="majorBidi"/>
                <w:b/>
                <w:bCs/>
                <w:iCs/>
                <w:sz w:val="22"/>
              </w:rPr>
            </w:pPr>
            <w:r w:rsidRPr="007865AF">
              <w:rPr>
                <w:rFonts w:ascii="Lato" w:hAnsi="Lato" w:cstheme="majorBidi"/>
                <w:b/>
                <w:bCs/>
                <w:iCs/>
                <w:sz w:val="22"/>
              </w:rPr>
              <w:t>P</w:t>
            </w:r>
            <w:r w:rsidR="003D5F1C" w:rsidRPr="007865AF">
              <w:rPr>
                <w:rFonts w:ascii="Lato" w:hAnsi="Lato" w:cstheme="majorBidi"/>
                <w:b/>
                <w:bCs/>
                <w:iCs/>
                <w:sz w:val="22"/>
              </w:rPr>
              <w:t>RODEV</w:t>
            </w:r>
          </w:p>
        </w:tc>
      </w:tr>
      <w:tr w:rsidR="002A01C9" w:rsidRPr="007865AF" w14:paraId="3C9EE641" w14:textId="77777777" w:rsidTr="4CA2BE91">
        <w:tc>
          <w:tcPr>
            <w:tcW w:w="3955" w:type="dxa"/>
          </w:tcPr>
          <w:p w14:paraId="27FFC46D" w14:textId="78964554" w:rsidR="002A01C9" w:rsidRPr="007865AF" w:rsidRDefault="002A01C9" w:rsidP="002A01C9">
            <w:pPr>
              <w:pStyle w:val="NoSpacing"/>
              <w:rPr>
                <w:rFonts w:ascii="Lato" w:hAnsi="Lato" w:cstheme="majorBidi"/>
                <w:iCs/>
                <w:color w:val="auto"/>
                <w:sz w:val="22"/>
              </w:rPr>
            </w:pPr>
            <w:r w:rsidRPr="007865AF">
              <w:rPr>
                <w:rFonts w:ascii="Lato" w:hAnsi="Lato" w:cstheme="majorBidi"/>
                <w:iCs/>
                <w:color w:val="auto"/>
                <w:sz w:val="22"/>
              </w:rPr>
              <w:t>Project Name (or number, where applicable):</w:t>
            </w:r>
          </w:p>
        </w:tc>
        <w:tc>
          <w:tcPr>
            <w:tcW w:w="5310" w:type="dxa"/>
          </w:tcPr>
          <w:p w14:paraId="1A1F44CB" w14:textId="418B3C5E" w:rsidR="002A01C9" w:rsidRPr="007865AF" w:rsidRDefault="008267E7" w:rsidP="008267E7">
            <w:pPr>
              <w:pStyle w:val="NoSpacing"/>
              <w:tabs>
                <w:tab w:val="left" w:pos="1290"/>
              </w:tabs>
              <w:jc w:val="left"/>
              <w:rPr>
                <w:rFonts w:ascii="Lato" w:hAnsi="Lato" w:cstheme="majorBidi"/>
                <w:b/>
                <w:bCs/>
                <w:iCs/>
                <w:sz w:val="22"/>
              </w:rPr>
            </w:pPr>
            <w:r w:rsidRPr="007865AF">
              <w:rPr>
                <w:rFonts w:ascii="Lato" w:hAnsi="Lato" w:cstheme="majorBidi"/>
                <w:b/>
                <w:bCs/>
                <w:iCs/>
                <w:sz w:val="22"/>
              </w:rPr>
              <w:t>DRA Haiti AJR 2024</w:t>
            </w:r>
          </w:p>
        </w:tc>
      </w:tr>
      <w:tr w:rsidR="002A01C9" w:rsidRPr="007865AF" w14:paraId="23FE7738" w14:textId="77777777" w:rsidTr="4CA2BE91">
        <w:tc>
          <w:tcPr>
            <w:tcW w:w="3955" w:type="dxa"/>
          </w:tcPr>
          <w:p w14:paraId="36F42288" w14:textId="37EEA7CB" w:rsidR="002A01C9" w:rsidRPr="007865AF" w:rsidRDefault="002A01C9" w:rsidP="002A01C9">
            <w:pPr>
              <w:pStyle w:val="NoSpacing"/>
              <w:rPr>
                <w:rFonts w:ascii="Lato" w:hAnsi="Lato" w:cstheme="majorBidi"/>
                <w:iCs/>
                <w:color w:val="auto"/>
                <w:sz w:val="22"/>
              </w:rPr>
            </w:pPr>
            <w:r w:rsidRPr="007865AF">
              <w:rPr>
                <w:rFonts w:ascii="Lato" w:hAnsi="Lato" w:cstheme="majorBidi"/>
                <w:iCs/>
                <w:color w:val="auto"/>
                <w:sz w:val="22"/>
              </w:rPr>
              <w:t xml:space="preserve">Project Country: </w:t>
            </w:r>
          </w:p>
        </w:tc>
        <w:tc>
          <w:tcPr>
            <w:tcW w:w="5310" w:type="dxa"/>
          </w:tcPr>
          <w:p w14:paraId="4EDD89DB" w14:textId="75F842B9" w:rsidR="002A01C9" w:rsidRPr="007865AF" w:rsidRDefault="008267E7" w:rsidP="002A01C9">
            <w:pPr>
              <w:pStyle w:val="NoSpacing"/>
              <w:rPr>
                <w:rFonts w:ascii="Lato" w:hAnsi="Lato" w:cstheme="majorBidi"/>
                <w:b/>
                <w:bCs/>
                <w:iCs/>
                <w:sz w:val="22"/>
              </w:rPr>
            </w:pPr>
            <w:r w:rsidRPr="007865AF">
              <w:rPr>
                <w:rFonts w:ascii="Lato" w:hAnsi="Lato" w:cstheme="majorBidi"/>
                <w:b/>
                <w:bCs/>
                <w:iCs/>
                <w:sz w:val="22"/>
              </w:rPr>
              <w:t>Haiti</w:t>
            </w:r>
          </w:p>
        </w:tc>
      </w:tr>
      <w:tr w:rsidR="002A01C9" w:rsidRPr="00BE53AB" w14:paraId="6A27A00B" w14:textId="77777777" w:rsidTr="4CA2BE91">
        <w:tc>
          <w:tcPr>
            <w:tcW w:w="3955" w:type="dxa"/>
          </w:tcPr>
          <w:p w14:paraId="74305EF4" w14:textId="59A7EF63" w:rsidR="002A01C9" w:rsidRPr="007865AF" w:rsidRDefault="002A01C9" w:rsidP="002A01C9">
            <w:pPr>
              <w:pStyle w:val="NoSpacing"/>
              <w:rPr>
                <w:rFonts w:ascii="Lato" w:hAnsi="Lato" w:cstheme="majorBidi"/>
                <w:iCs/>
                <w:color w:val="auto"/>
                <w:sz w:val="22"/>
              </w:rPr>
            </w:pPr>
            <w:r w:rsidRPr="007865AF">
              <w:rPr>
                <w:rFonts w:ascii="Lato" w:hAnsi="Lato" w:cstheme="majorBidi"/>
                <w:iCs/>
                <w:color w:val="auto"/>
                <w:sz w:val="22"/>
              </w:rPr>
              <w:t xml:space="preserve">Project Area (if applicable): </w:t>
            </w:r>
          </w:p>
        </w:tc>
        <w:tc>
          <w:tcPr>
            <w:tcW w:w="5310" w:type="dxa"/>
          </w:tcPr>
          <w:p w14:paraId="7EB7BF02" w14:textId="6831B7D6" w:rsidR="002A01C9" w:rsidRPr="006C1049" w:rsidRDefault="00512241" w:rsidP="002A01C9">
            <w:pPr>
              <w:pStyle w:val="NoSpacing"/>
              <w:rPr>
                <w:rFonts w:ascii="Lato" w:hAnsi="Lato" w:cstheme="majorBidi"/>
                <w:b/>
                <w:bCs/>
                <w:iCs/>
                <w:sz w:val="22"/>
                <w:lang w:val="fr-FR"/>
              </w:rPr>
            </w:pPr>
            <w:r w:rsidRPr="006C1049">
              <w:rPr>
                <w:rFonts w:ascii="Lato" w:hAnsi="Lato" w:cstheme="majorBidi"/>
                <w:b/>
                <w:bCs/>
                <w:iCs/>
                <w:sz w:val="22"/>
                <w:lang w:val="fr-FR"/>
              </w:rPr>
              <w:t>Metropolitan Area of Port-au-Pr</w:t>
            </w:r>
            <w:r>
              <w:rPr>
                <w:rFonts w:ascii="Lato" w:hAnsi="Lato" w:cstheme="majorBidi"/>
                <w:b/>
                <w:bCs/>
                <w:iCs/>
                <w:sz w:val="22"/>
                <w:lang w:val="fr-FR"/>
              </w:rPr>
              <w:t>ince</w:t>
            </w:r>
          </w:p>
        </w:tc>
      </w:tr>
      <w:tr w:rsidR="002A01C9" w:rsidRPr="007865AF" w14:paraId="46A39A27" w14:textId="77777777" w:rsidTr="4CA2BE91">
        <w:tc>
          <w:tcPr>
            <w:tcW w:w="3955" w:type="dxa"/>
          </w:tcPr>
          <w:p w14:paraId="0D33AAA1" w14:textId="1A977E3C" w:rsidR="002A01C9" w:rsidRPr="007865AF" w:rsidRDefault="002A01C9" w:rsidP="002A01C9">
            <w:pPr>
              <w:pStyle w:val="NoSpacing"/>
              <w:rPr>
                <w:rFonts w:ascii="Lato" w:hAnsi="Lato" w:cstheme="majorBidi"/>
                <w:iCs/>
                <w:color w:val="auto"/>
                <w:sz w:val="22"/>
              </w:rPr>
            </w:pPr>
            <w:r w:rsidRPr="007865AF">
              <w:rPr>
                <w:rFonts w:ascii="Lato" w:hAnsi="Lato" w:cstheme="majorBidi"/>
                <w:iCs/>
                <w:color w:val="auto"/>
                <w:sz w:val="22"/>
              </w:rPr>
              <w:t xml:space="preserve">Reporting Period: </w:t>
            </w:r>
          </w:p>
        </w:tc>
        <w:tc>
          <w:tcPr>
            <w:tcW w:w="5310" w:type="dxa"/>
          </w:tcPr>
          <w:p w14:paraId="122593CB" w14:textId="1AF4D470" w:rsidR="002A01C9" w:rsidRPr="007865AF" w:rsidRDefault="24C4F68C" w:rsidP="1764AD2B">
            <w:pPr>
              <w:pStyle w:val="NoSpacing"/>
              <w:rPr>
                <w:rFonts w:ascii="Lato" w:hAnsi="Lato" w:cstheme="majorBidi"/>
                <w:b/>
                <w:bCs/>
                <w:sz w:val="22"/>
              </w:rPr>
            </w:pPr>
            <w:r w:rsidRPr="1764AD2B">
              <w:rPr>
                <w:rFonts w:ascii="Lato" w:hAnsi="Lato" w:cstheme="majorBidi"/>
                <w:b/>
                <w:bCs/>
                <w:sz w:val="22"/>
              </w:rPr>
              <w:t>April 29, 2024 to October 28, 2024</w:t>
            </w:r>
          </w:p>
        </w:tc>
      </w:tr>
      <w:tr w:rsidR="002A01C9" w:rsidRPr="007865AF" w14:paraId="3281B8A7" w14:textId="77777777" w:rsidTr="4CA2BE91">
        <w:tc>
          <w:tcPr>
            <w:tcW w:w="3955" w:type="dxa"/>
          </w:tcPr>
          <w:p w14:paraId="0D5DA7FB" w14:textId="40D29266" w:rsidR="002A01C9" w:rsidRPr="007865AF" w:rsidRDefault="002A01C9" w:rsidP="002A01C9">
            <w:pPr>
              <w:pStyle w:val="NoSpacing"/>
              <w:rPr>
                <w:rFonts w:ascii="Lato" w:hAnsi="Lato" w:cstheme="majorBidi"/>
                <w:iCs/>
                <w:color w:val="auto"/>
                <w:sz w:val="22"/>
              </w:rPr>
            </w:pPr>
            <w:r w:rsidRPr="007865AF">
              <w:rPr>
                <w:rFonts w:ascii="Lato" w:hAnsi="Lato" w:cstheme="majorBidi"/>
                <w:iCs/>
                <w:color w:val="auto"/>
                <w:sz w:val="22"/>
              </w:rPr>
              <w:t>Project Start Date:</w:t>
            </w:r>
          </w:p>
        </w:tc>
        <w:tc>
          <w:tcPr>
            <w:tcW w:w="5310" w:type="dxa"/>
          </w:tcPr>
          <w:p w14:paraId="5D020B8B" w14:textId="75CAC876" w:rsidR="002A01C9" w:rsidRPr="007865AF" w:rsidRDefault="00EF3F99" w:rsidP="002A01C9">
            <w:pPr>
              <w:pStyle w:val="NoSpacing"/>
              <w:rPr>
                <w:rFonts w:ascii="Lato" w:hAnsi="Lato" w:cstheme="majorBidi"/>
                <w:b/>
                <w:bCs/>
                <w:iCs/>
                <w:sz w:val="22"/>
              </w:rPr>
            </w:pPr>
            <w:r>
              <w:rPr>
                <w:rFonts w:ascii="Lato" w:hAnsi="Lato" w:cstheme="majorBidi"/>
                <w:b/>
                <w:bCs/>
                <w:iCs/>
                <w:sz w:val="22"/>
              </w:rPr>
              <w:t>April 29, 2024</w:t>
            </w:r>
          </w:p>
        </w:tc>
      </w:tr>
      <w:tr w:rsidR="002A01C9" w:rsidRPr="007865AF" w14:paraId="7A061CE5" w14:textId="77777777" w:rsidTr="4CA2BE91">
        <w:tc>
          <w:tcPr>
            <w:tcW w:w="3955" w:type="dxa"/>
          </w:tcPr>
          <w:p w14:paraId="35959A63" w14:textId="69471B49" w:rsidR="002A01C9" w:rsidRPr="007865AF" w:rsidRDefault="002A01C9" w:rsidP="002A01C9">
            <w:pPr>
              <w:pStyle w:val="NoSpacing"/>
              <w:rPr>
                <w:rFonts w:ascii="Lato" w:hAnsi="Lato" w:cstheme="majorBidi"/>
                <w:iCs/>
                <w:color w:val="auto"/>
                <w:sz w:val="22"/>
              </w:rPr>
            </w:pPr>
            <w:r w:rsidRPr="007865AF">
              <w:rPr>
                <w:rFonts w:ascii="Lato" w:hAnsi="Lato" w:cstheme="majorBidi"/>
                <w:iCs/>
                <w:color w:val="auto"/>
                <w:sz w:val="22"/>
              </w:rPr>
              <w:t>Project Planned End Date:</w:t>
            </w:r>
          </w:p>
        </w:tc>
        <w:tc>
          <w:tcPr>
            <w:tcW w:w="5310" w:type="dxa"/>
          </w:tcPr>
          <w:p w14:paraId="475098E3" w14:textId="3AD58B08" w:rsidR="002A01C9" w:rsidRPr="007865AF" w:rsidRDefault="00EF3F99" w:rsidP="002A01C9">
            <w:pPr>
              <w:pStyle w:val="NoSpacing"/>
              <w:rPr>
                <w:rFonts w:ascii="Lato" w:hAnsi="Lato" w:cstheme="majorBidi"/>
                <w:b/>
                <w:bCs/>
                <w:iCs/>
                <w:sz w:val="22"/>
              </w:rPr>
            </w:pPr>
            <w:r>
              <w:rPr>
                <w:rFonts w:ascii="Lato" w:hAnsi="Lato" w:cstheme="majorBidi"/>
                <w:b/>
                <w:bCs/>
                <w:iCs/>
                <w:sz w:val="22"/>
              </w:rPr>
              <w:t>Octo</w:t>
            </w:r>
            <w:r w:rsidR="00936495">
              <w:rPr>
                <w:rFonts w:ascii="Lato" w:hAnsi="Lato" w:cstheme="majorBidi"/>
                <w:b/>
                <w:bCs/>
                <w:iCs/>
                <w:sz w:val="22"/>
              </w:rPr>
              <w:t>ber 28, 2024</w:t>
            </w:r>
          </w:p>
        </w:tc>
      </w:tr>
      <w:tr w:rsidR="002A01C9" w:rsidRPr="007865AF" w14:paraId="2643ECB6" w14:textId="77777777" w:rsidTr="4CA2BE91">
        <w:tc>
          <w:tcPr>
            <w:tcW w:w="3955" w:type="dxa"/>
          </w:tcPr>
          <w:p w14:paraId="578F74A0" w14:textId="41FA691F" w:rsidR="002A01C9" w:rsidRPr="007865AF" w:rsidRDefault="0073257F" w:rsidP="002A01C9">
            <w:pPr>
              <w:pStyle w:val="NoSpacing"/>
              <w:rPr>
                <w:rFonts w:ascii="Lato" w:hAnsi="Lato" w:cstheme="majorBidi"/>
                <w:iCs/>
                <w:color w:val="auto"/>
                <w:sz w:val="22"/>
              </w:rPr>
            </w:pPr>
            <w:r w:rsidRPr="007865AF">
              <w:rPr>
                <w:rFonts w:ascii="Lato" w:hAnsi="Lato" w:cstheme="majorBidi"/>
                <w:iCs/>
                <w:color w:val="auto"/>
                <w:sz w:val="22"/>
              </w:rPr>
              <w:t>NCE</w:t>
            </w:r>
            <w:r w:rsidR="00E93942" w:rsidRPr="007865AF">
              <w:rPr>
                <w:rFonts w:ascii="Lato" w:hAnsi="Lato" w:cstheme="majorBidi"/>
                <w:iCs/>
                <w:color w:val="auto"/>
                <w:sz w:val="22"/>
              </w:rPr>
              <w:t xml:space="preserve">  (if applicable):</w:t>
            </w:r>
          </w:p>
        </w:tc>
        <w:tc>
          <w:tcPr>
            <w:tcW w:w="5310" w:type="dxa"/>
          </w:tcPr>
          <w:p w14:paraId="357A0CA5" w14:textId="3E3D0B80" w:rsidR="002A01C9" w:rsidRPr="007865AF" w:rsidRDefault="38DED529" w:rsidP="1764AD2B">
            <w:pPr>
              <w:pStyle w:val="NoSpacing"/>
              <w:rPr>
                <w:rFonts w:ascii="Lato" w:hAnsi="Lato" w:cstheme="majorBidi"/>
                <w:b/>
                <w:bCs/>
                <w:sz w:val="22"/>
              </w:rPr>
            </w:pPr>
            <w:r w:rsidRPr="1764AD2B">
              <w:rPr>
                <w:rFonts w:ascii="Lato" w:hAnsi="Lato" w:cstheme="majorBidi"/>
                <w:b/>
                <w:bCs/>
                <w:sz w:val="22"/>
              </w:rPr>
              <w:t>N/A</w:t>
            </w:r>
          </w:p>
        </w:tc>
      </w:tr>
      <w:tr w:rsidR="0073257F" w:rsidRPr="007865AF" w14:paraId="23745232" w14:textId="77777777" w:rsidTr="4CA2BE91">
        <w:tc>
          <w:tcPr>
            <w:tcW w:w="3955" w:type="dxa"/>
          </w:tcPr>
          <w:p w14:paraId="16DCC2A2" w14:textId="11CDEC79" w:rsidR="0073257F" w:rsidRPr="007865AF" w:rsidRDefault="0073257F" w:rsidP="0073257F">
            <w:pPr>
              <w:pStyle w:val="NoSpacing"/>
              <w:rPr>
                <w:rFonts w:ascii="Lato" w:hAnsi="Lato" w:cstheme="majorBidi"/>
                <w:iCs/>
                <w:color w:val="auto"/>
                <w:sz w:val="22"/>
              </w:rPr>
            </w:pPr>
            <w:r w:rsidRPr="007865AF">
              <w:rPr>
                <w:rFonts w:ascii="Lato" w:hAnsi="Lato" w:cstheme="majorBidi"/>
                <w:iCs/>
                <w:color w:val="auto"/>
                <w:sz w:val="22"/>
              </w:rPr>
              <w:t xml:space="preserve">Project Budget </w:t>
            </w:r>
          </w:p>
        </w:tc>
        <w:tc>
          <w:tcPr>
            <w:tcW w:w="5310" w:type="dxa"/>
          </w:tcPr>
          <w:p w14:paraId="2E238364" w14:textId="02AC5BF3" w:rsidR="0073257F" w:rsidRPr="00B30EAE" w:rsidRDefault="4E510F83" w:rsidP="4CA2BE91">
            <w:pPr>
              <w:pStyle w:val="NoSpacing"/>
              <w:rPr>
                <w:rFonts w:ascii="Lato" w:hAnsi="Lato" w:cstheme="majorBidi"/>
                <w:b/>
                <w:bCs/>
                <w:sz w:val="22"/>
              </w:rPr>
            </w:pPr>
            <w:r w:rsidRPr="00B30EAE">
              <w:rPr>
                <w:rFonts w:ascii="Lato" w:hAnsi="Lato" w:cstheme="majorBidi"/>
                <w:b/>
                <w:bCs/>
                <w:sz w:val="22"/>
              </w:rPr>
              <w:t>480,435</w:t>
            </w:r>
            <w:r w:rsidR="163587EF" w:rsidRPr="00B30EAE">
              <w:rPr>
                <w:rFonts w:ascii="Lato" w:hAnsi="Lato" w:cstheme="majorBidi"/>
                <w:b/>
                <w:bCs/>
                <w:sz w:val="22"/>
              </w:rPr>
              <w:t>.00</w:t>
            </w:r>
          </w:p>
        </w:tc>
      </w:tr>
      <w:tr w:rsidR="0073257F" w:rsidRPr="007865AF" w14:paraId="57DD2C71" w14:textId="77777777" w:rsidTr="4CA2BE91">
        <w:tc>
          <w:tcPr>
            <w:tcW w:w="3955" w:type="dxa"/>
          </w:tcPr>
          <w:p w14:paraId="40820ADA" w14:textId="208E0D57" w:rsidR="0073257F" w:rsidRPr="007865AF" w:rsidRDefault="0073257F" w:rsidP="0073257F">
            <w:pPr>
              <w:pStyle w:val="NoSpacing"/>
              <w:rPr>
                <w:rFonts w:ascii="Lato" w:hAnsi="Lato" w:cstheme="majorBidi"/>
                <w:iCs/>
                <w:color w:val="auto"/>
                <w:sz w:val="22"/>
              </w:rPr>
            </w:pPr>
            <w:r w:rsidRPr="007865AF">
              <w:rPr>
                <w:rFonts w:ascii="Lato" w:hAnsi="Lato" w:cstheme="majorBidi"/>
                <w:iCs/>
                <w:color w:val="auto"/>
                <w:sz w:val="22"/>
              </w:rPr>
              <w:t>Project Expenditure</w:t>
            </w:r>
          </w:p>
        </w:tc>
        <w:tc>
          <w:tcPr>
            <w:tcW w:w="5310" w:type="dxa"/>
          </w:tcPr>
          <w:p w14:paraId="57E719FF" w14:textId="29907ACA" w:rsidR="0073257F" w:rsidRPr="00B30EAE" w:rsidRDefault="73050291" w:rsidP="4CA2BE91">
            <w:pPr>
              <w:pStyle w:val="NoSpacing"/>
              <w:rPr>
                <w:rFonts w:ascii="Lato" w:hAnsi="Lato" w:cstheme="majorBidi"/>
                <w:b/>
                <w:bCs/>
                <w:sz w:val="22"/>
              </w:rPr>
            </w:pPr>
            <w:r w:rsidRPr="00B30EAE">
              <w:rPr>
                <w:rFonts w:ascii="Lato" w:hAnsi="Lato" w:cstheme="majorBidi"/>
                <w:b/>
                <w:bCs/>
                <w:sz w:val="22"/>
              </w:rPr>
              <w:t>48</w:t>
            </w:r>
            <w:r w:rsidR="09D566A9" w:rsidRPr="00B30EAE">
              <w:rPr>
                <w:rFonts w:ascii="Lato" w:hAnsi="Lato" w:cstheme="majorBidi"/>
                <w:b/>
                <w:bCs/>
                <w:sz w:val="22"/>
              </w:rPr>
              <w:t>1</w:t>
            </w:r>
            <w:r w:rsidRPr="00B30EAE">
              <w:rPr>
                <w:rFonts w:ascii="Lato" w:hAnsi="Lato" w:cstheme="majorBidi"/>
                <w:b/>
                <w:bCs/>
                <w:sz w:val="22"/>
              </w:rPr>
              <w:t>,</w:t>
            </w:r>
            <w:r w:rsidR="5F77D474" w:rsidRPr="00B30EAE">
              <w:rPr>
                <w:rFonts w:ascii="Lato" w:hAnsi="Lato" w:cstheme="majorBidi"/>
                <w:b/>
                <w:bCs/>
                <w:sz w:val="22"/>
              </w:rPr>
              <w:t>210.00</w:t>
            </w:r>
          </w:p>
        </w:tc>
      </w:tr>
      <w:tr w:rsidR="0073257F" w:rsidRPr="007865AF" w14:paraId="20572163" w14:textId="77777777" w:rsidTr="4CA2BE91">
        <w:tc>
          <w:tcPr>
            <w:tcW w:w="3955" w:type="dxa"/>
          </w:tcPr>
          <w:p w14:paraId="15997C17" w14:textId="03AAD6A0" w:rsidR="0073257F" w:rsidRPr="007865AF" w:rsidRDefault="0073257F" w:rsidP="0073257F">
            <w:pPr>
              <w:pStyle w:val="NoSpacing"/>
              <w:rPr>
                <w:rFonts w:ascii="Lato" w:hAnsi="Lato" w:cstheme="majorBidi"/>
                <w:iCs/>
                <w:color w:val="auto"/>
                <w:sz w:val="22"/>
              </w:rPr>
            </w:pPr>
            <w:r w:rsidRPr="007865AF">
              <w:rPr>
                <w:rFonts w:ascii="Lato" w:hAnsi="Lato" w:cstheme="majorBidi"/>
                <w:iCs/>
                <w:color w:val="auto"/>
                <w:sz w:val="22"/>
              </w:rPr>
              <w:t>Target Planned</w:t>
            </w:r>
          </w:p>
        </w:tc>
        <w:tc>
          <w:tcPr>
            <w:tcW w:w="5310" w:type="dxa"/>
          </w:tcPr>
          <w:p w14:paraId="3C3A36DA" w14:textId="00A71843" w:rsidR="0073257F" w:rsidRPr="007865AF" w:rsidRDefault="56AF2281" w:rsidP="1764AD2B">
            <w:pPr>
              <w:pStyle w:val="NoSpacing"/>
              <w:rPr>
                <w:rFonts w:ascii="Lato" w:hAnsi="Lato" w:cstheme="majorBidi"/>
                <w:b/>
                <w:bCs/>
                <w:sz w:val="22"/>
              </w:rPr>
            </w:pPr>
            <w:r w:rsidRPr="1764AD2B">
              <w:rPr>
                <w:rFonts w:ascii="Lato" w:hAnsi="Lato" w:cstheme="majorBidi"/>
                <w:b/>
                <w:bCs/>
                <w:sz w:val="22"/>
              </w:rPr>
              <w:t>1885 Individuals</w:t>
            </w:r>
          </w:p>
        </w:tc>
      </w:tr>
      <w:tr w:rsidR="0073257F" w:rsidRPr="007865AF" w14:paraId="0F1C0E52" w14:textId="77777777" w:rsidTr="4CA2BE91">
        <w:tc>
          <w:tcPr>
            <w:tcW w:w="3955" w:type="dxa"/>
          </w:tcPr>
          <w:p w14:paraId="49A8A4C9" w14:textId="393CA4B5" w:rsidR="0073257F" w:rsidRPr="007865AF" w:rsidRDefault="1D03962E" w:rsidP="71CED10A">
            <w:pPr>
              <w:pStyle w:val="NoSpacing"/>
              <w:rPr>
                <w:rFonts w:ascii="Lato" w:hAnsi="Lato" w:cstheme="majorBidi"/>
                <w:color w:val="auto"/>
                <w:sz w:val="22"/>
              </w:rPr>
            </w:pPr>
            <w:r w:rsidRPr="71CED10A">
              <w:rPr>
                <w:rFonts w:ascii="Lato" w:hAnsi="Lato" w:cstheme="majorBidi"/>
                <w:color w:val="auto"/>
                <w:sz w:val="22"/>
              </w:rPr>
              <w:t>Target Achieved</w:t>
            </w:r>
          </w:p>
        </w:tc>
        <w:tc>
          <w:tcPr>
            <w:tcW w:w="5310" w:type="dxa"/>
          </w:tcPr>
          <w:p w14:paraId="65C69A58" w14:textId="1450A39B" w:rsidR="0073257F" w:rsidRPr="007865AF" w:rsidRDefault="18869912" w:rsidP="71CED10A">
            <w:pPr>
              <w:pStyle w:val="NoSpacing"/>
              <w:rPr>
                <w:rFonts w:ascii="Lato" w:hAnsi="Lato" w:cstheme="majorBidi"/>
                <w:b/>
                <w:bCs/>
                <w:sz w:val="22"/>
              </w:rPr>
            </w:pPr>
            <w:r w:rsidRPr="71CED10A">
              <w:rPr>
                <w:rFonts w:ascii="Lato" w:hAnsi="Lato" w:cstheme="majorBidi"/>
                <w:b/>
                <w:bCs/>
                <w:sz w:val="22"/>
              </w:rPr>
              <w:t>1742 Individuals</w:t>
            </w:r>
          </w:p>
        </w:tc>
      </w:tr>
      <w:tr w:rsidR="0073257F" w:rsidRPr="007865AF" w14:paraId="6CB140B9" w14:textId="77777777" w:rsidTr="4CA2BE91">
        <w:trPr>
          <w:trHeight w:val="450"/>
        </w:trPr>
        <w:tc>
          <w:tcPr>
            <w:tcW w:w="3955" w:type="dxa"/>
          </w:tcPr>
          <w:p w14:paraId="425E05EE" w14:textId="66877F81" w:rsidR="0073257F" w:rsidRPr="007865AF" w:rsidRDefault="0073257F" w:rsidP="0073257F">
            <w:pPr>
              <w:pStyle w:val="NoSpacing"/>
              <w:rPr>
                <w:rFonts w:ascii="Lato" w:hAnsi="Lato" w:cstheme="majorBidi"/>
                <w:iCs/>
                <w:color w:val="auto"/>
                <w:sz w:val="22"/>
              </w:rPr>
            </w:pPr>
            <w:r w:rsidRPr="007865AF">
              <w:rPr>
                <w:rFonts w:ascii="Lato" w:hAnsi="Lato" w:cstheme="majorBidi"/>
                <w:iCs/>
                <w:color w:val="auto"/>
                <w:sz w:val="22"/>
              </w:rPr>
              <w:t>Sectors of Intervention</w:t>
            </w:r>
          </w:p>
        </w:tc>
        <w:tc>
          <w:tcPr>
            <w:tcW w:w="5310" w:type="dxa"/>
          </w:tcPr>
          <w:p w14:paraId="2C164066" w14:textId="365AC29F" w:rsidR="0073257F" w:rsidRPr="007865AF" w:rsidRDefault="11A21927" w:rsidP="1764AD2B">
            <w:pPr>
              <w:pStyle w:val="NoSpacing"/>
              <w:rPr>
                <w:rFonts w:ascii="Lato" w:hAnsi="Lato" w:cstheme="majorBidi"/>
                <w:b/>
                <w:bCs/>
                <w:sz w:val="22"/>
              </w:rPr>
            </w:pPr>
            <w:r w:rsidRPr="1764AD2B">
              <w:rPr>
                <w:rFonts w:ascii="Lato" w:hAnsi="Lato" w:cstheme="majorBidi"/>
                <w:b/>
                <w:bCs/>
                <w:sz w:val="22"/>
              </w:rPr>
              <w:t>Education, Muti-purpose cash, Child Protection</w:t>
            </w:r>
          </w:p>
        </w:tc>
      </w:tr>
    </w:tbl>
    <w:p w14:paraId="406886F0" w14:textId="77777777" w:rsidR="00FD5E25" w:rsidRPr="007865AF" w:rsidRDefault="00FD5E25" w:rsidP="001F25F6">
      <w:pPr>
        <w:pStyle w:val="NoSpacing"/>
        <w:rPr>
          <w:rFonts w:ascii="Lato" w:hAnsi="Lato" w:cstheme="majorBidi"/>
          <w:b/>
          <w:i/>
          <w:iCs/>
          <w:sz w:val="22"/>
        </w:rPr>
      </w:pPr>
    </w:p>
    <w:p w14:paraId="647CA15A" w14:textId="469444EF" w:rsidR="00C811AA" w:rsidRPr="007865AF" w:rsidRDefault="00C811AA" w:rsidP="001F25F6">
      <w:pPr>
        <w:pStyle w:val="NoSpacing"/>
        <w:rPr>
          <w:rFonts w:ascii="Lato" w:hAnsi="Lato" w:cstheme="majorBidi"/>
          <w:b/>
          <w:i/>
          <w:iCs/>
          <w:sz w:val="22"/>
        </w:rPr>
      </w:pPr>
      <w:r w:rsidRPr="007865AF">
        <w:rPr>
          <w:rFonts w:ascii="Lato" w:hAnsi="Lato" w:cstheme="majorBidi"/>
          <w:b/>
          <w:i/>
          <w:iCs/>
          <w:sz w:val="22"/>
        </w:rPr>
        <w:t>Section 1: Reporting on project period</w:t>
      </w:r>
    </w:p>
    <w:p w14:paraId="39DE169F" w14:textId="77777777" w:rsidR="00270598" w:rsidRPr="007865AF" w:rsidRDefault="00270598" w:rsidP="00FE7F8B">
      <w:pPr>
        <w:pStyle w:val="NoSpacing"/>
        <w:rPr>
          <w:rFonts w:ascii="Lato" w:hAnsi="Lato" w:cstheme="majorBidi"/>
          <w:sz w:val="22"/>
        </w:rPr>
      </w:pPr>
    </w:p>
    <w:p w14:paraId="02C1C699" w14:textId="77777777" w:rsidR="00FD16B0" w:rsidRPr="007865AF" w:rsidRDefault="00F1405D" w:rsidP="008E4B9A">
      <w:pPr>
        <w:pStyle w:val="ListParagraph"/>
        <w:numPr>
          <w:ilvl w:val="0"/>
          <w:numId w:val="16"/>
        </w:numPr>
        <w:spacing w:after="200"/>
        <w:ind w:left="360"/>
        <w:rPr>
          <w:rFonts w:ascii="Lato" w:hAnsi="Lato" w:cstheme="majorBidi"/>
          <w:sz w:val="22"/>
        </w:rPr>
      </w:pPr>
      <w:r w:rsidRPr="007865AF">
        <w:rPr>
          <w:rFonts w:ascii="Lato" w:hAnsi="Lato" w:cstheme="majorBidi"/>
          <w:b/>
          <w:sz w:val="22"/>
        </w:rPr>
        <w:t>Overall Performance</w:t>
      </w:r>
      <w:r w:rsidRPr="007865AF">
        <w:rPr>
          <w:rFonts w:ascii="Lato" w:hAnsi="Lato" w:cstheme="majorBidi"/>
          <w:sz w:val="22"/>
        </w:rPr>
        <w:t xml:space="preserve">: </w:t>
      </w:r>
    </w:p>
    <w:p w14:paraId="0EAE1512" w14:textId="3424340E" w:rsidR="00F576AD" w:rsidRPr="007865AF" w:rsidRDefault="00F576AD" w:rsidP="78EED883">
      <w:pPr>
        <w:rPr>
          <w:rFonts w:ascii="Lato" w:hAnsi="Lato"/>
          <w:sz w:val="22"/>
        </w:rPr>
      </w:pPr>
      <w:r w:rsidRPr="78EED883">
        <w:rPr>
          <w:rFonts w:ascii="Lato" w:hAnsi="Lato"/>
          <w:sz w:val="22"/>
        </w:rPr>
        <w:t xml:space="preserve">The project was implemented in the context of an acute crisis in Haiti, marked by escalating gang violence in the metropolitan area of Port-au-Prince. This situation resulted in the mass displacement of </w:t>
      </w:r>
      <w:r w:rsidR="39E2FBE4" w:rsidRPr="78EED883">
        <w:rPr>
          <w:rFonts w:ascii="Lato" w:hAnsi="Lato"/>
          <w:sz w:val="22"/>
        </w:rPr>
        <w:t>over 700,000</w:t>
      </w:r>
      <w:r w:rsidRPr="78EED883">
        <w:rPr>
          <w:rFonts w:ascii="Lato" w:hAnsi="Lato"/>
          <w:sz w:val="22"/>
        </w:rPr>
        <w:t xml:space="preserve"> people, including</w:t>
      </w:r>
      <w:r w:rsidR="4472A79B" w:rsidRPr="78EED883">
        <w:rPr>
          <w:rFonts w:ascii="Lato" w:hAnsi="Lato"/>
          <w:sz w:val="22"/>
        </w:rPr>
        <w:t xml:space="preserve"> more than 120,000</w:t>
      </w:r>
      <w:r w:rsidRPr="78EED883">
        <w:rPr>
          <w:rFonts w:ascii="Lato" w:hAnsi="Lato"/>
          <w:sz w:val="22"/>
        </w:rPr>
        <w:t xml:space="preserve"> internally displaced persons (IDPs) spread across </w:t>
      </w:r>
      <w:r w:rsidR="4D9E5EC9" w:rsidRPr="78EED883">
        <w:rPr>
          <w:rFonts w:ascii="Lato" w:hAnsi="Lato"/>
          <w:sz w:val="22"/>
        </w:rPr>
        <w:t>117</w:t>
      </w:r>
      <w:r w:rsidRPr="78EED883">
        <w:rPr>
          <w:rFonts w:ascii="Lato" w:hAnsi="Lato"/>
          <w:sz w:val="22"/>
        </w:rPr>
        <w:t xml:space="preserve"> identified sites. </w:t>
      </w:r>
      <w:r w:rsidR="1EA75C28" w:rsidRPr="584B6FE4">
        <w:rPr>
          <w:rFonts w:ascii="Lato" w:hAnsi="Lato"/>
          <w:sz w:val="22"/>
        </w:rPr>
        <w:t>The violence</w:t>
      </w:r>
      <w:r w:rsidRPr="78EED883">
        <w:rPr>
          <w:rFonts w:ascii="Lato" w:hAnsi="Lato"/>
          <w:sz w:val="22"/>
        </w:rPr>
        <w:t xml:space="preserve"> severely impacted educational </w:t>
      </w:r>
      <w:r w:rsidR="786DC3E3" w:rsidRPr="558E95DA">
        <w:rPr>
          <w:rFonts w:ascii="Lato" w:hAnsi="Lato"/>
          <w:sz w:val="22"/>
        </w:rPr>
        <w:t>continuity</w:t>
      </w:r>
      <w:r w:rsidRPr="78EED883">
        <w:rPr>
          <w:rFonts w:ascii="Lato" w:hAnsi="Lato"/>
          <w:sz w:val="22"/>
        </w:rPr>
        <w:t xml:space="preserve">, with </w:t>
      </w:r>
      <w:r w:rsidR="3C343471" w:rsidRPr="78EED883">
        <w:rPr>
          <w:rFonts w:ascii="Lato" w:hAnsi="Lato"/>
          <w:sz w:val="22"/>
        </w:rPr>
        <w:t>more than 900</w:t>
      </w:r>
      <w:r w:rsidRPr="78EED883">
        <w:rPr>
          <w:rFonts w:ascii="Lato" w:hAnsi="Lato"/>
          <w:sz w:val="22"/>
        </w:rPr>
        <w:t xml:space="preserve"> schools closed</w:t>
      </w:r>
      <w:r w:rsidR="226B9B07" w:rsidRPr="78EED883">
        <w:rPr>
          <w:rFonts w:ascii="Lato" w:hAnsi="Lato"/>
          <w:sz w:val="22"/>
        </w:rPr>
        <w:t xml:space="preserve"> during the past school year</w:t>
      </w:r>
      <w:r w:rsidRPr="78EED883">
        <w:rPr>
          <w:rFonts w:ascii="Lato" w:hAnsi="Lato"/>
          <w:sz w:val="22"/>
        </w:rPr>
        <w:t xml:space="preserve">, depriving more than 200,000 children of their right to education. </w:t>
      </w:r>
      <w:r w:rsidR="78D15F94" w:rsidRPr="78EED883">
        <w:rPr>
          <w:rFonts w:ascii="Lato" w:hAnsi="Lato"/>
          <w:sz w:val="22"/>
        </w:rPr>
        <w:t>About 40% of</w:t>
      </w:r>
      <w:r w:rsidRPr="78EED883">
        <w:rPr>
          <w:rFonts w:ascii="Lato" w:hAnsi="Lato"/>
          <w:sz w:val="22"/>
        </w:rPr>
        <w:t xml:space="preserve"> displacement sites used as temporary shelters</w:t>
      </w:r>
      <w:r w:rsidR="327F9C5E" w:rsidRPr="78EED883">
        <w:rPr>
          <w:rFonts w:ascii="Lato" w:hAnsi="Lato"/>
          <w:sz w:val="22"/>
        </w:rPr>
        <w:t xml:space="preserve"> </w:t>
      </w:r>
      <w:r w:rsidR="23485C02" w:rsidRPr="78EED883">
        <w:rPr>
          <w:rFonts w:ascii="Lato" w:hAnsi="Lato"/>
          <w:sz w:val="22"/>
        </w:rPr>
        <w:t>we</w:t>
      </w:r>
      <w:r w:rsidR="327F9C5E" w:rsidRPr="78EED883">
        <w:rPr>
          <w:rFonts w:ascii="Lato" w:hAnsi="Lato"/>
          <w:sz w:val="22"/>
        </w:rPr>
        <w:t>re schools</w:t>
      </w:r>
      <w:r w:rsidRPr="78EED883">
        <w:rPr>
          <w:rFonts w:ascii="Lato" w:hAnsi="Lato"/>
          <w:sz w:val="22"/>
        </w:rPr>
        <w:t xml:space="preserve">, exacerbating protection risks for children and limiting their access to safe learning environments. Additionally, the risks of gender-based violence (GBV) </w:t>
      </w:r>
      <w:r w:rsidR="1AA3C7D6" w:rsidRPr="32F04563">
        <w:rPr>
          <w:rFonts w:ascii="Lato" w:hAnsi="Lato"/>
          <w:sz w:val="22"/>
        </w:rPr>
        <w:t xml:space="preserve">in sites </w:t>
      </w:r>
      <w:r w:rsidRPr="32F04563">
        <w:rPr>
          <w:rFonts w:ascii="Lato" w:hAnsi="Lato"/>
          <w:sz w:val="22"/>
        </w:rPr>
        <w:t>were</w:t>
      </w:r>
      <w:r w:rsidRPr="78EED883">
        <w:rPr>
          <w:rFonts w:ascii="Lato" w:hAnsi="Lato"/>
          <w:sz w:val="22"/>
        </w:rPr>
        <w:t xml:space="preserve"> particularly concerning, with 250 cases reported over a short period, primarily affecting displaced women and girls.</w:t>
      </w:r>
    </w:p>
    <w:p w14:paraId="476B1C12" w14:textId="77777777" w:rsidR="00F576AD" w:rsidRPr="007865AF" w:rsidRDefault="00F576AD" w:rsidP="00A82670">
      <w:pPr>
        <w:rPr>
          <w:rFonts w:ascii="Lato" w:hAnsi="Lato"/>
          <w:sz w:val="22"/>
        </w:rPr>
      </w:pPr>
    </w:p>
    <w:p w14:paraId="7320B1C8" w14:textId="4F1F7566" w:rsidR="00F576AD" w:rsidRPr="007865AF" w:rsidRDefault="00F576AD" w:rsidP="239F5A57">
      <w:pPr>
        <w:rPr>
          <w:rFonts w:ascii="Lato" w:hAnsi="Lato"/>
          <w:sz w:val="22"/>
        </w:rPr>
      </w:pPr>
      <w:r w:rsidRPr="239F5A57">
        <w:rPr>
          <w:rFonts w:ascii="Lato" w:hAnsi="Lato"/>
          <w:sz w:val="22"/>
        </w:rPr>
        <w:t>To address these challenges, the project implemented strategic interventions in the sectors of education, protection, and cash assistance</w:t>
      </w:r>
      <w:r w:rsidR="7312DD15" w:rsidRPr="239F5A57">
        <w:rPr>
          <w:rFonts w:ascii="Lato" w:hAnsi="Lato"/>
          <w:sz w:val="22"/>
        </w:rPr>
        <w:t xml:space="preserve"> </w:t>
      </w:r>
      <w:r w:rsidR="008D51B7">
        <w:rPr>
          <w:rFonts w:ascii="Lato" w:hAnsi="Lato"/>
          <w:sz w:val="22"/>
        </w:rPr>
        <w:t xml:space="preserve">to support 1742 individuals </w:t>
      </w:r>
      <w:r w:rsidRPr="239F5A57">
        <w:rPr>
          <w:rFonts w:ascii="Lato" w:hAnsi="Lato"/>
          <w:sz w:val="22"/>
        </w:rPr>
        <w:t>both in sending and receiving</w:t>
      </w:r>
      <w:r w:rsidR="7312DD15" w:rsidRPr="239F5A57">
        <w:rPr>
          <w:rFonts w:ascii="Lato" w:hAnsi="Lato"/>
          <w:sz w:val="22"/>
        </w:rPr>
        <w:t xml:space="preserve"> </w:t>
      </w:r>
      <w:r w:rsidR="71B6D6EC" w:rsidRPr="239F5A57">
        <w:rPr>
          <w:rFonts w:ascii="Lato" w:hAnsi="Lato"/>
          <w:sz w:val="22"/>
        </w:rPr>
        <w:t xml:space="preserve">in </w:t>
      </w:r>
      <w:r w:rsidR="7312DD15" w:rsidRPr="239F5A57">
        <w:rPr>
          <w:rFonts w:ascii="Lato" w:hAnsi="Lato"/>
          <w:sz w:val="22"/>
        </w:rPr>
        <w:t>displacement</w:t>
      </w:r>
      <w:r w:rsidR="523A9C56" w:rsidRPr="239F5A57">
        <w:rPr>
          <w:rFonts w:ascii="Lato" w:hAnsi="Lato"/>
          <w:sz w:val="22"/>
        </w:rPr>
        <w:t xml:space="preserve"> areas</w:t>
      </w:r>
      <w:r w:rsidR="35A0B58D" w:rsidRPr="239F5A57">
        <w:rPr>
          <w:rFonts w:ascii="Lato" w:hAnsi="Lato"/>
          <w:sz w:val="22"/>
        </w:rPr>
        <w:t xml:space="preserve"> within the Metropolitan Area of Port-au-Prince</w:t>
      </w:r>
      <w:r w:rsidR="74F79E1A" w:rsidRPr="239F5A57">
        <w:rPr>
          <w:rFonts w:ascii="Lato" w:hAnsi="Lato"/>
          <w:sz w:val="22"/>
        </w:rPr>
        <w:t xml:space="preserve"> (PaP)</w:t>
      </w:r>
      <w:r w:rsidR="7312DD15" w:rsidRPr="239F5A57">
        <w:rPr>
          <w:rFonts w:ascii="Lato" w:hAnsi="Lato"/>
          <w:sz w:val="22"/>
        </w:rPr>
        <w:t>,</w:t>
      </w:r>
      <w:r w:rsidRPr="239F5A57">
        <w:rPr>
          <w:rFonts w:ascii="Lato" w:hAnsi="Lato"/>
          <w:sz w:val="22"/>
        </w:rPr>
        <w:t xml:space="preserve"> in partnership with </w:t>
      </w:r>
      <w:r w:rsidR="31CD0335" w:rsidRPr="239F5A57">
        <w:rPr>
          <w:rFonts w:ascii="Lato" w:hAnsi="Lato"/>
          <w:sz w:val="22"/>
        </w:rPr>
        <w:t xml:space="preserve">the local partner </w:t>
      </w:r>
      <w:r w:rsidRPr="239F5A57">
        <w:rPr>
          <w:rFonts w:ascii="Lato" w:hAnsi="Lato"/>
          <w:sz w:val="22"/>
        </w:rPr>
        <w:t>PRODEV.</w:t>
      </w:r>
      <w:r w:rsidR="008D51B7">
        <w:rPr>
          <w:rFonts w:ascii="Lato" w:hAnsi="Lato"/>
          <w:sz w:val="22"/>
        </w:rPr>
        <w:t xml:space="preserve"> </w:t>
      </w:r>
      <w:r w:rsidRPr="239F5A57">
        <w:rPr>
          <w:rFonts w:ascii="Lato" w:hAnsi="Lato"/>
          <w:sz w:val="22"/>
        </w:rPr>
        <w:t xml:space="preserve">A critical first step was the relocation of 236 households who were living in </w:t>
      </w:r>
      <w:r w:rsidR="189EA1CE" w:rsidRPr="239F5A57">
        <w:rPr>
          <w:rFonts w:ascii="Lato" w:hAnsi="Lato"/>
          <w:sz w:val="22"/>
        </w:rPr>
        <w:t xml:space="preserve">2 </w:t>
      </w:r>
      <w:r w:rsidRPr="239F5A57">
        <w:rPr>
          <w:rFonts w:ascii="Lato" w:hAnsi="Lato"/>
          <w:sz w:val="22"/>
        </w:rPr>
        <w:t>schools used as shelters</w:t>
      </w:r>
      <w:r w:rsidR="1370291C" w:rsidRPr="239F5A57">
        <w:rPr>
          <w:rFonts w:ascii="Lato" w:hAnsi="Lato"/>
          <w:sz w:val="22"/>
        </w:rPr>
        <w:t xml:space="preserve"> in</w:t>
      </w:r>
      <w:r w:rsidR="004C6B1C">
        <w:rPr>
          <w:rFonts w:ascii="Lato" w:hAnsi="Lato"/>
          <w:sz w:val="22"/>
        </w:rPr>
        <w:t xml:space="preserve"> </w:t>
      </w:r>
      <w:r w:rsidR="6B77980A" w:rsidRPr="50E51C66">
        <w:rPr>
          <w:rFonts w:ascii="Lato" w:hAnsi="Lato"/>
          <w:sz w:val="22"/>
        </w:rPr>
        <w:t>t</w:t>
      </w:r>
      <w:r w:rsidR="007E341B" w:rsidRPr="50E51C66">
        <w:rPr>
          <w:rFonts w:ascii="Lato" w:hAnsi="Lato"/>
          <w:sz w:val="22"/>
        </w:rPr>
        <w:t>he</w:t>
      </w:r>
      <w:r w:rsidR="007E341B">
        <w:rPr>
          <w:rFonts w:ascii="Lato" w:hAnsi="Lato"/>
          <w:sz w:val="22"/>
        </w:rPr>
        <w:t xml:space="preserve"> communes of Port-au-Prince</w:t>
      </w:r>
      <w:r w:rsidR="00BB79AE">
        <w:rPr>
          <w:rFonts w:ascii="Lato" w:hAnsi="Lato"/>
          <w:sz w:val="22"/>
        </w:rPr>
        <w:t>, at Bourdon, and Petion-Ville, on Route Frere</w:t>
      </w:r>
      <w:r w:rsidR="004845F9">
        <w:rPr>
          <w:rFonts w:ascii="Lato" w:hAnsi="Lato"/>
          <w:sz w:val="22"/>
        </w:rPr>
        <w:t>, both located in the metropolitan area</w:t>
      </w:r>
      <w:r w:rsidRPr="239F5A57">
        <w:rPr>
          <w:rFonts w:ascii="Lato" w:hAnsi="Lato"/>
          <w:sz w:val="22"/>
        </w:rPr>
        <w:t>.</w:t>
      </w:r>
      <w:r w:rsidR="2E84D2C6" w:rsidRPr="239F5A57">
        <w:rPr>
          <w:rFonts w:ascii="Lato" w:hAnsi="Lato"/>
          <w:sz w:val="22"/>
        </w:rPr>
        <w:t xml:space="preserve"> These schools were located in safer neighbourhoods an</w:t>
      </w:r>
      <w:r w:rsidR="258F9A44" w:rsidRPr="239F5A57">
        <w:rPr>
          <w:rFonts w:ascii="Lato" w:hAnsi="Lato"/>
          <w:sz w:val="22"/>
        </w:rPr>
        <w:t xml:space="preserve">d </w:t>
      </w:r>
      <w:r w:rsidR="29390DC8" w:rsidRPr="239F5A57">
        <w:rPr>
          <w:rFonts w:ascii="Lato" w:hAnsi="Lato"/>
          <w:sz w:val="22"/>
        </w:rPr>
        <w:t>were among the few schools that could have remained operational</w:t>
      </w:r>
      <w:r w:rsidR="258F9A44" w:rsidRPr="239F5A57">
        <w:rPr>
          <w:rFonts w:ascii="Lato" w:hAnsi="Lato"/>
          <w:sz w:val="22"/>
        </w:rPr>
        <w:t xml:space="preserve">. </w:t>
      </w:r>
      <w:r w:rsidRPr="239F5A57">
        <w:rPr>
          <w:rFonts w:ascii="Lato" w:hAnsi="Lato"/>
          <w:sz w:val="22"/>
        </w:rPr>
        <w:t xml:space="preserve">This initiative freed up school infrastructure, allowing 1,600 students to resume </w:t>
      </w:r>
      <w:r w:rsidR="5E6F73DB" w:rsidRPr="239F5A57">
        <w:rPr>
          <w:rFonts w:ascii="Lato" w:hAnsi="Lato"/>
          <w:sz w:val="22"/>
        </w:rPr>
        <w:t xml:space="preserve">access to a safe and protective environment as well as to </w:t>
      </w:r>
      <w:r w:rsidRPr="239F5A57">
        <w:rPr>
          <w:rFonts w:ascii="Lato" w:hAnsi="Lato"/>
          <w:sz w:val="22"/>
        </w:rPr>
        <w:t xml:space="preserve">their education. Relocated families </w:t>
      </w:r>
      <w:r w:rsidRPr="239F5A57">
        <w:rPr>
          <w:rFonts w:ascii="Lato" w:hAnsi="Lato"/>
          <w:sz w:val="22"/>
        </w:rPr>
        <w:lastRenderedPageBreak/>
        <w:t xml:space="preserve">benefited from </w:t>
      </w:r>
      <w:r w:rsidR="0580DBF6" w:rsidRPr="239F5A57">
        <w:rPr>
          <w:rFonts w:ascii="Lato" w:hAnsi="Lato"/>
          <w:sz w:val="22"/>
        </w:rPr>
        <w:t xml:space="preserve">2 distribution of </w:t>
      </w:r>
      <w:r w:rsidRPr="239F5A57">
        <w:rPr>
          <w:rFonts w:ascii="Lato" w:hAnsi="Lato"/>
          <w:sz w:val="22"/>
        </w:rPr>
        <w:t>financial support</w:t>
      </w:r>
      <w:r w:rsidR="00FC6166">
        <w:rPr>
          <w:rFonts w:ascii="Lato" w:hAnsi="Lato"/>
          <w:sz w:val="22"/>
        </w:rPr>
        <w:t xml:space="preserve"> (unrestricted/unconditional and unrestricted/conditional)</w:t>
      </w:r>
      <w:r w:rsidRPr="239F5A57">
        <w:rPr>
          <w:rFonts w:ascii="Lato" w:hAnsi="Lato"/>
          <w:sz w:val="22"/>
        </w:rPr>
        <w:t xml:space="preserve"> to secure safer </w:t>
      </w:r>
      <w:r w:rsidR="2392AFFB" w:rsidRPr="239F5A57">
        <w:rPr>
          <w:rFonts w:ascii="Lato" w:hAnsi="Lato"/>
          <w:sz w:val="22"/>
        </w:rPr>
        <w:t xml:space="preserve">and more dignified </w:t>
      </w:r>
      <w:r w:rsidRPr="239F5A57">
        <w:rPr>
          <w:rFonts w:ascii="Lato" w:hAnsi="Lato"/>
          <w:sz w:val="22"/>
        </w:rPr>
        <w:t xml:space="preserve">housing, improving their living conditions and reducing the </w:t>
      </w:r>
      <w:r w:rsidR="32315C5B" w:rsidRPr="239F5A57">
        <w:rPr>
          <w:rFonts w:ascii="Lato" w:hAnsi="Lato"/>
          <w:sz w:val="22"/>
        </w:rPr>
        <w:t xml:space="preserve">protection </w:t>
      </w:r>
      <w:r w:rsidRPr="239F5A57">
        <w:rPr>
          <w:rFonts w:ascii="Lato" w:hAnsi="Lato"/>
          <w:sz w:val="22"/>
        </w:rPr>
        <w:t>risks children faced in displacement sites.</w:t>
      </w:r>
    </w:p>
    <w:p w14:paraId="48513E4A" w14:textId="77777777" w:rsidR="00F576AD" w:rsidRPr="007865AF" w:rsidRDefault="00F576AD" w:rsidP="00A82670">
      <w:pPr>
        <w:rPr>
          <w:rFonts w:ascii="Lato" w:hAnsi="Lato"/>
          <w:sz w:val="22"/>
        </w:rPr>
      </w:pPr>
    </w:p>
    <w:p w14:paraId="6FCF87CE" w14:textId="4EA6EF02" w:rsidR="00F576AD" w:rsidRPr="007865AF" w:rsidRDefault="00F576AD" w:rsidP="7DA89621">
      <w:pPr>
        <w:rPr>
          <w:rFonts w:ascii="Lato" w:hAnsi="Lato"/>
          <w:sz w:val="22"/>
        </w:rPr>
      </w:pPr>
      <w:r w:rsidRPr="7DA89621">
        <w:rPr>
          <w:rFonts w:ascii="Lato" w:hAnsi="Lato"/>
          <w:sz w:val="22"/>
        </w:rPr>
        <w:t xml:space="preserve">In the field of education in emergencies, 540 children from the École Nationale de Zoranje and École Nouvelle Zoranje in </w:t>
      </w:r>
      <w:r w:rsidR="27E625DC" w:rsidRPr="7DA89621">
        <w:rPr>
          <w:rFonts w:ascii="Lato" w:hAnsi="Lato"/>
          <w:sz w:val="22"/>
        </w:rPr>
        <w:t xml:space="preserve">the violence-affected commune of </w:t>
      </w:r>
      <w:r w:rsidRPr="7DA89621">
        <w:rPr>
          <w:rFonts w:ascii="Lato" w:hAnsi="Lato"/>
          <w:sz w:val="22"/>
        </w:rPr>
        <w:t>Croix-des-Bouquets were able to continue their learning through the innovative Lèkol Katye model. Eighteen community learning spaces were established, providing a safe and structured educational environment. These spaces enabled children to maintain their learning during school closures while participating in psychosocial and creative activities. In addition, the children received daily snacks, which supported their attendance and overall well-being. The results of this initiative were significant: students from both schools are now prepared to advance to the next grade, and exam success rates improved considerably. The École Nationale de Zoranje achieved a success rate of 88%, compared to less than 79% over the past five years, while the École Nouvelle Zoranje achieved an exceptional 100% success rate.</w:t>
      </w:r>
      <w:r w:rsidR="0918918D" w:rsidRPr="7DA89621">
        <w:rPr>
          <w:rFonts w:ascii="Lato" w:hAnsi="Lato"/>
          <w:sz w:val="22"/>
        </w:rPr>
        <w:t xml:space="preserve"> </w:t>
      </w:r>
      <w:r w:rsidR="6FD103B1" w:rsidRPr="7DA89621">
        <w:rPr>
          <w:rFonts w:ascii="Lato" w:hAnsi="Lato"/>
          <w:sz w:val="22"/>
        </w:rPr>
        <w:t>In a context where armed gangs are offering as little as less than 100 US dollars and a meal per day to get children to join them, t</w:t>
      </w:r>
      <w:r w:rsidR="0918918D" w:rsidRPr="7DA89621">
        <w:rPr>
          <w:rFonts w:ascii="Lato" w:hAnsi="Lato"/>
          <w:sz w:val="22"/>
        </w:rPr>
        <w:t xml:space="preserve">he project contributed to reducing the risk of recruitment of children </w:t>
      </w:r>
      <w:r w:rsidR="059F6776" w:rsidRPr="7DA89621">
        <w:rPr>
          <w:rFonts w:ascii="Lato" w:hAnsi="Lato"/>
          <w:sz w:val="22"/>
        </w:rPr>
        <w:t>into</w:t>
      </w:r>
      <w:r w:rsidR="0918918D" w:rsidRPr="7DA89621">
        <w:rPr>
          <w:rFonts w:ascii="Lato" w:hAnsi="Lato"/>
          <w:sz w:val="22"/>
        </w:rPr>
        <w:t xml:space="preserve"> armed groups </w:t>
      </w:r>
      <w:r w:rsidR="7A9CF551" w:rsidRPr="7DA89621">
        <w:rPr>
          <w:rFonts w:ascii="Lato" w:hAnsi="Lato"/>
          <w:sz w:val="22"/>
        </w:rPr>
        <w:t xml:space="preserve">in violence-affected communities </w:t>
      </w:r>
      <w:r w:rsidR="0918918D" w:rsidRPr="7DA89621">
        <w:rPr>
          <w:rFonts w:ascii="Lato" w:hAnsi="Lato"/>
          <w:sz w:val="22"/>
        </w:rPr>
        <w:t xml:space="preserve">by ensuring </w:t>
      </w:r>
      <w:r w:rsidR="72C475CC" w:rsidRPr="7DA89621">
        <w:rPr>
          <w:rFonts w:ascii="Lato" w:hAnsi="Lato"/>
          <w:sz w:val="22"/>
        </w:rPr>
        <w:t>children</w:t>
      </w:r>
      <w:r w:rsidR="0918918D" w:rsidRPr="7DA89621">
        <w:rPr>
          <w:rFonts w:ascii="Lato" w:hAnsi="Lato"/>
          <w:sz w:val="22"/>
        </w:rPr>
        <w:t xml:space="preserve"> retained access to </w:t>
      </w:r>
      <w:r w:rsidR="5A6A1545" w:rsidRPr="7DA89621">
        <w:rPr>
          <w:rFonts w:ascii="Lato" w:hAnsi="Lato"/>
          <w:sz w:val="22"/>
        </w:rPr>
        <w:t>a</w:t>
      </w:r>
      <w:r w:rsidR="0918918D" w:rsidRPr="7DA89621">
        <w:rPr>
          <w:rFonts w:ascii="Lato" w:hAnsi="Lato"/>
          <w:sz w:val="22"/>
        </w:rPr>
        <w:t xml:space="preserve"> safe and protective environment </w:t>
      </w:r>
      <w:r w:rsidR="25905C2B" w:rsidRPr="7DA89621">
        <w:rPr>
          <w:rFonts w:ascii="Lato" w:hAnsi="Lato"/>
          <w:sz w:val="22"/>
        </w:rPr>
        <w:t xml:space="preserve">during daytime, were fed every day and learned how to thrive.  </w:t>
      </w:r>
    </w:p>
    <w:p w14:paraId="0799CB65" w14:textId="77777777" w:rsidR="00F576AD" w:rsidRPr="007865AF" w:rsidRDefault="00F576AD" w:rsidP="00A82670">
      <w:pPr>
        <w:rPr>
          <w:rFonts w:ascii="Lato" w:hAnsi="Lato"/>
          <w:sz w:val="22"/>
        </w:rPr>
      </w:pPr>
    </w:p>
    <w:p w14:paraId="321CA85A" w14:textId="44540C23" w:rsidR="00F576AD" w:rsidRPr="007865AF" w:rsidRDefault="00F576AD" w:rsidP="7DA89621">
      <w:pPr>
        <w:rPr>
          <w:rFonts w:ascii="Lato" w:hAnsi="Lato"/>
          <w:sz w:val="22"/>
        </w:rPr>
      </w:pPr>
      <w:r w:rsidRPr="7DA89621">
        <w:rPr>
          <w:rFonts w:ascii="Lato" w:hAnsi="Lato"/>
          <w:sz w:val="22"/>
        </w:rPr>
        <w:t xml:space="preserve">The project also strengthened local capacities </w:t>
      </w:r>
      <w:r w:rsidR="00196453">
        <w:rPr>
          <w:rFonts w:ascii="Lato" w:hAnsi="Lato"/>
          <w:sz w:val="22"/>
        </w:rPr>
        <w:t>by training</w:t>
      </w:r>
      <w:r w:rsidRPr="7DA89621">
        <w:rPr>
          <w:rFonts w:ascii="Lato" w:hAnsi="Lato"/>
          <w:sz w:val="22"/>
        </w:rPr>
        <w:t xml:space="preserve"> 30 teachers and 2 school principals on key topics such as child protection, </w:t>
      </w:r>
      <w:r w:rsidR="525048ED" w:rsidRPr="7DA89621">
        <w:rPr>
          <w:rFonts w:ascii="Lato" w:hAnsi="Lato"/>
          <w:sz w:val="22"/>
        </w:rPr>
        <w:t xml:space="preserve">child safeguarding, </w:t>
      </w:r>
      <w:r w:rsidRPr="7DA89621">
        <w:rPr>
          <w:rFonts w:ascii="Lato" w:hAnsi="Lato"/>
          <w:sz w:val="22"/>
        </w:rPr>
        <w:t>gender equality, and psychosocial support. These trainings contributed to improving the quality of education and integrating an inclusive and protective approach into schools. Additionally, 241 heads of households were sensitized on gender and protection issues, enhancing their ability to create safer family and community environments.</w:t>
      </w:r>
    </w:p>
    <w:p w14:paraId="10734330" w14:textId="77777777" w:rsidR="00F576AD" w:rsidRPr="007865AF" w:rsidRDefault="00F576AD" w:rsidP="00A82670">
      <w:pPr>
        <w:rPr>
          <w:rFonts w:ascii="Lato" w:hAnsi="Lato"/>
          <w:sz w:val="22"/>
        </w:rPr>
      </w:pPr>
    </w:p>
    <w:p w14:paraId="30E54EA6" w14:textId="4D7CB3D2" w:rsidR="00F576AD" w:rsidRPr="007865AF" w:rsidRDefault="00F576AD" w:rsidP="239F5A57">
      <w:pPr>
        <w:rPr>
          <w:rFonts w:ascii="Lato" w:hAnsi="Lato"/>
          <w:sz w:val="22"/>
        </w:rPr>
      </w:pPr>
      <w:r w:rsidRPr="239F5A57">
        <w:rPr>
          <w:rFonts w:ascii="Lato" w:hAnsi="Lato"/>
          <w:sz w:val="22"/>
        </w:rPr>
        <w:t xml:space="preserve">To address protection needs, training on </w:t>
      </w:r>
      <w:r w:rsidR="7D2F1944" w:rsidRPr="667D3182">
        <w:rPr>
          <w:rFonts w:ascii="Lato" w:hAnsi="Lato"/>
          <w:sz w:val="22"/>
        </w:rPr>
        <w:t xml:space="preserve">child </w:t>
      </w:r>
      <w:r w:rsidRPr="667D3182">
        <w:rPr>
          <w:rFonts w:ascii="Lato" w:hAnsi="Lato"/>
          <w:sz w:val="22"/>
        </w:rPr>
        <w:t>GBV</w:t>
      </w:r>
      <w:r w:rsidRPr="239F5A57">
        <w:rPr>
          <w:rFonts w:ascii="Lato" w:hAnsi="Lato"/>
          <w:sz w:val="22"/>
        </w:rPr>
        <w:t xml:space="preserve"> case management and the prevention of exploitation and sexual abuse was provided to 35 participants from 20 local organizations</w:t>
      </w:r>
      <w:r w:rsidR="25E995D6" w:rsidRPr="239F5A57">
        <w:rPr>
          <w:rFonts w:ascii="Lato" w:hAnsi="Lato"/>
          <w:sz w:val="22"/>
        </w:rPr>
        <w:t xml:space="preserve"> in collaboration with the Protection Cluster</w:t>
      </w:r>
      <w:r w:rsidRPr="239F5A57">
        <w:rPr>
          <w:rFonts w:ascii="Lato" w:hAnsi="Lato"/>
          <w:sz w:val="22"/>
        </w:rPr>
        <w:t xml:space="preserve">, the majority of whom were women. This initiative improved the quality of services </w:t>
      </w:r>
      <w:r w:rsidR="00196453" w:rsidRPr="239F5A57">
        <w:rPr>
          <w:rFonts w:ascii="Lato" w:hAnsi="Lato"/>
          <w:sz w:val="22"/>
        </w:rPr>
        <w:t>offered</w:t>
      </w:r>
      <w:r w:rsidRPr="239F5A57">
        <w:rPr>
          <w:rFonts w:ascii="Lato" w:hAnsi="Lato"/>
          <w:sz w:val="22"/>
        </w:rPr>
        <w:t xml:space="preserve"> to </w:t>
      </w:r>
      <w:r w:rsidR="00196453" w:rsidRPr="239F5A57">
        <w:rPr>
          <w:rFonts w:ascii="Lato" w:hAnsi="Lato"/>
          <w:sz w:val="22"/>
        </w:rPr>
        <w:t>survivors</w:t>
      </w:r>
      <w:r w:rsidRPr="239F5A57">
        <w:rPr>
          <w:rFonts w:ascii="Lato" w:hAnsi="Lato"/>
          <w:sz w:val="22"/>
        </w:rPr>
        <w:t xml:space="preserve"> while increasing community awareness of these issues.</w:t>
      </w:r>
    </w:p>
    <w:p w14:paraId="6806F159" w14:textId="77777777" w:rsidR="00F576AD" w:rsidRPr="007865AF" w:rsidRDefault="00F576AD" w:rsidP="00A82670">
      <w:pPr>
        <w:rPr>
          <w:rFonts w:ascii="Lato" w:hAnsi="Lato"/>
          <w:sz w:val="22"/>
        </w:rPr>
      </w:pPr>
    </w:p>
    <w:p w14:paraId="7930FA12" w14:textId="64195CDC" w:rsidR="00FD16B0" w:rsidRPr="007865AF" w:rsidRDefault="00F576AD" w:rsidP="239F5A57">
      <w:pPr>
        <w:spacing w:after="200"/>
        <w:rPr>
          <w:rFonts w:ascii="Lato" w:hAnsi="Lato" w:cstheme="majorBidi"/>
          <w:sz w:val="22"/>
        </w:rPr>
      </w:pPr>
      <w:r w:rsidRPr="239F5A57">
        <w:rPr>
          <w:rFonts w:ascii="Lato" w:hAnsi="Lato"/>
          <w:sz w:val="22"/>
        </w:rPr>
        <w:t xml:space="preserve">The interventions had a direct and transformative impact on the beneficiaries. </w:t>
      </w:r>
      <w:r w:rsidR="047A9A62" w:rsidRPr="1BEC0602">
        <w:rPr>
          <w:rFonts w:ascii="Lato" w:hAnsi="Lato"/>
          <w:sz w:val="22"/>
        </w:rPr>
        <w:t>The children</w:t>
      </w:r>
      <w:r w:rsidR="4F833D89" w:rsidRPr="1BEC0602">
        <w:rPr>
          <w:rFonts w:ascii="Lato" w:hAnsi="Lato"/>
          <w:sz w:val="22"/>
        </w:rPr>
        <w:t xml:space="preserve"> </w:t>
      </w:r>
      <w:r w:rsidRPr="1BEC0602">
        <w:rPr>
          <w:rFonts w:ascii="Lato" w:hAnsi="Lato"/>
          <w:sz w:val="22"/>
        </w:rPr>
        <w:t>supported</w:t>
      </w:r>
      <w:r w:rsidRPr="239F5A57">
        <w:rPr>
          <w:rFonts w:ascii="Lato" w:hAnsi="Lato"/>
          <w:sz w:val="22"/>
        </w:rPr>
        <w:t xml:space="preserve"> by the L</w:t>
      </w:r>
      <w:r w:rsidR="00196453" w:rsidRPr="239F5A57">
        <w:rPr>
          <w:rFonts w:ascii="Lato" w:hAnsi="Lato"/>
          <w:sz w:val="22"/>
        </w:rPr>
        <w:t>e</w:t>
      </w:r>
      <w:r w:rsidRPr="239F5A57">
        <w:rPr>
          <w:rFonts w:ascii="Lato" w:hAnsi="Lato"/>
          <w:sz w:val="22"/>
        </w:rPr>
        <w:t>k</w:t>
      </w:r>
      <w:r w:rsidR="00196453" w:rsidRPr="239F5A57">
        <w:rPr>
          <w:rFonts w:ascii="Lato" w:hAnsi="Lato"/>
          <w:sz w:val="22"/>
        </w:rPr>
        <w:t>ò</w:t>
      </w:r>
      <w:r w:rsidRPr="239F5A57">
        <w:rPr>
          <w:rFonts w:ascii="Lato" w:hAnsi="Lato"/>
          <w:sz w:val="22"/>
        </w:rPr>
        <w:t>l Katye model are now in safer environments better suited to their educational and protection needs. Relocated families now live in more dignified housing conditions, reducing their exposure to protection risks and improving their quality of life.</w:t>
      </w:r>
    </w:p>
    <w:p w14:paraId="529D4334" w14:textId="77777777" w:rsidR="00621596" w:rsidRPr="007865AF" w:rsidRDefault="007C437F" w:rsidP="008E4B9A">
      <w:pPr>
        <w:pStyle w:val="ListParagraph"/>
        <w:numPr>
          <w:ilvl w:val="0"/>
          <w:numId w:val="16"/>
        </w:numPr>
        <w:spacing w:after="200"/>
        <w:rPr>
          <w:rFonts w:ascii="Lato" w:hAnsi="Lato" w:cstheme="majorBidi"/>
          <w:sz w:val="22"/>
        </w:rPr>
      </w:pPr>
      <w:r w:rsidRPr="007865AF">
        <w:rPr>
          <w:rFonts w:ascii="Lato" w:hAnsi="Lato" w:cstheme="majorBidi"/>
          <w:b/>
          <w:sz w:val="22"/>
        </w:rPr>
        <w:t xml:space="preserve">Changes </w:t>
      </w:r>
      <w:r w:rsidR="000B0C54" w:rsidRPr="007865AF">
        <w:rPr>
          <w:rFonts w:ascii="Lato" w:hAnsi="Lato" w:cstheme="majorBidi"/>
          <w:b/>
          <w:sz w:val="22"/>
        </w:rPr>
        <w:t>and Amendments</w:t>
      </w:r>
      <w:r w:rsidR="000B0C54" w:rsidRPr="007865AF">
        <w:rPr>
          <w:rFonts w:ascii="Lato" w:hAnsi="Lato" w:cstheme="majorBidi"/>
          <w:sz w:val="22"/>
        </w:rPr>
        <w:t xml:space="preserve">: </w:t>
      </w:r>
    </w:p>
    <w:p w14:paraId="4273B7F4" w14:textId="4F7B0FDC" w:rsidR="00621596" w:rsidRPr="007865AF" w:rsidRDefault="00621596" w:rsidP="239F5A57">
      <w:pPr>
        <w:rPr>
          <w:rFonts w:ascii="Lato" w:hAnsi="Lato"/>
          <w:sz w:val="22"/>
        </w:rPr>
      </w:pPr>
      <w:r w:rsidRPr="239F5A57">
        <w:rPr>
          <w:rFonts w:ascii="Lato" w:hAnsi="Lato"/>
          <w:sz w:val="22"/>
        </w:rPr>
        <w:t xml:space="preserve">During the implementation of the project, several challenges arose that </w:t>
      </w:r>
      <w:r w:rsidR="004F1DD1" w:rsidRPr="239F5A57">
        <w:rPr>
          <w:rFonts w:ascii="Lato" w:hAnsi="Lato"/>
          <w:sz w:val="22"/>
        </w:rPr>
        <w:t>required adaptations</w:t>
      </w:r>
      <w:r w:rsidRPr="239F5A57">
        <w:rPr>
          <w:rFonts w:ascii="Lato" w:hAnsi="Lato"/>
          <w:sz w:val="22"/>
        </w:rPr>
        <w:t xml:space="preserve"> to the original plan. These challenges were successfully addressed through strong coordination among consortium partners and the proactive engagement of the project team. This collaborative approach ensured that constraints were mitigated effectively while maintaining adherence to humanitarian principles such as complementarity and coordination.</w:t>
      </w:r>
    </w:p>
    <w:p w14:paraId="6C64E52D" w14:textId="77777777" w:rsidR="00621596" w:rsidRPr="007865AF" w:rsidRDefault="00621596" w:rsidP="00A82670">
      <w:pPr>
        <w:rPr>
          <w:rFonts w:ascii="Lato" w:hAnsi="Lato"/>
          <w:sz w:val="22"/>
        </w:rPr>
      </w:pPr>
    </w:p>
    <w:p w14:paraId="75B8F1DF" w14:textId="18CC76BA" w:rsidR="00621596" w:rsidRPr="007865AF" w:rsidRDefault="00621596">
      <w:pPr>
        <w:rPr>
          <w:rFonts w:ascii="Lato" w:hAnsi="Lato"/>
          <w:sz w:val="22"/>
        </w:rPr>
      </w:pPr>
      <w:r w:rsidRPr="239F5A57">
        <w:rPr>
          <w:rFonts w:ascii="Lato" w:hAnsi="Lato"/>
          <w:sz w:val="22"/>
        </w:rPr>
        <w:t xml:space="preserve">One of the primary challenges was the beneficiary targeting process, which took considerably more time than anticipated. To avoid the risk of individuals who were not genuinely internally displaced persons (IDPs) being selected—sometimes with the complicity of site management committee members—a rigorous and thorough verification process was implemented. This </w:t>
      </w:r>
      <w:r w:rsidRPr="239F5A57">
        <w:rPr>
          <w:rFonts w:ascii="Lato" w:hAnsi="Lato"/>
          <w:sz w:val="22"/>
        </w:rPr>
        <w:lastRenderedPageBreak/>
        <w:t xml:space="preserve">included cross-checking lists and conducting detailed verifications to identify and exclude ineligible cases. As a result, the beneficiary lists were significantly reduced, ensuring the assistance reached the most vulnerable populations. While this </w:t>
      </w:r>
      <w:r w:rsidR="30A9757D" w:rsidRPr="239F5A57">
        <w:rPr>
          <w:rFonts w:ascii="Lato" w:hAnsi="Lato"/>
          <w:sz w:val="22"/>
        </w:rPr>
        <w:t xml:space="preserve">impacted the </w:t>
      </w:r>
      <w:r w:rsidRPr="239F5A57">
        <w:rPr>
          <w:rFonts w:ascii="Lato" w:hAnsi="Lato"/>
          <w:sz w:val="22"/>
        </w:rPr>
        <w:t>time required for activity implementation, it reinforced the integrity and fairness of the targeting process.</w:t>
      </w:r>
    </w:p>
    <w:p w14:paraId="5323E209" w14:textId="77777777" w:rsidR="00621596" w:rsidRPr="007865AF" w:rsidRDefault="00621596" w:rsidP="00A82670">
      <w:pPr>
        <w:rPr>
          <w:rFonts w:ascii="Lato" w:hAnsi="Lato"/>
          <w:sz w:val="22"/>
        </w:rPr>
      </w:pPr>
    </w:p>
    <w:p w14:paraId="22A34E03" w14:textId="3D18FF04" w:rsidR="00621596" w:rsidRPr="007865AF" w:rsidRDefault="00DA44F7" w:rsidP="239F5A57">
      <w:pPr>
        <w:rPr>
          <w:rFonts w:ascii="Lato" w:hAnsi="Lato"/>
          <w:sz w:val="22"/>
        </w:rPr>
      </w:pPr>
      <w:r w:rsidRPr="239F5A57">
        <w:rPr>
          <w:rFonts w:ascii="Lato" w:hAnsi="Lato"/>
          <w:sz w:val="22"/>
        </w:rPr>
        <w:t>Another change was</w:t>
      </w:r>
      <w:r w:rsidR="42D36E67" w:rsidRPr="239F5A57">
        <w:rPr>
          <w:rFonts w:ascii="Lato" w:hAnsi="Lato"/>
          <w:sz w:val="22"/>
        </w:rPr>
        <w:t xml:space="preserve"> related to the </w:t>
      </w:r>
      <w:r w:rsidR="00621596" w:rsidRPr="239F5A57">
        <w:rPr>
          <w:rFonts w:ascii="Lato" w:hAnsi="Lato"/>
          <w:sz w:val="22"/>
        </w:rPr>
        <w:t xml:space="preserve">final compiled number of households was 236, which was 24 fewer than the initial target. </w:t>
      </w:r>
      <w:r w:rsidR="56B4B66F" w:rsidRPr="239F5A57">
        <w:rPr>
          <w:rFonts w:ascii="Lato" w:hAnsi="Lato"/>
          <w:sz w:val="22"/>
        </w:rPr>
        <w:t xml:space="preserve">To mitigate conflict risks within sites, the project targeted all displaced people on each selected site, which required adjusting target figures based on changes in ever-evolving site population. </w:t>
      </w:r>
      <w:r w:rsidR="00621596" w:rsidRPr="239F5A57">
        <w:rPr>
          <w:rFonts w:ascii="Lato" w:hAnsi="Lato"/>
          <w:sz w:val="22"/>
        </w:rPr>
        <w:t>T</w:t>
      </w:r>
      <w:r w:rsidR="48F6A266" w:rsidRPr="239F5A57">
        <w:rPr>
          <w:rFonts w:ascii="Lato" w:hAnsi="Lato"/>
          <w:sz w:val="22"/>
        </w:rPr>
        <w:t>hanks to the flexibility in adjusting budget lines, however, t</w:t>
      </w:r>
      <w:r w:rsidR="00621596" w:rsidRPr="239F5A57">
        <w:rPr>
          <w:rFonts w:ascii="Lato" w:hAnsi="Lato"/>
          <w:sz w:val="22"/>
        </w:rPr>
        <w:t xml:space="preserve">he remaining funds were reallocated to improve conditions at the École Nationale Joseph Bernard de Frère. </w:t>
      </w:r>
      <w:r w:rsidR="00554790" w:rsidRPr="00D96892">
        <w:rPr>
          <w:rFonts w:ascii="Lato" w:hAnsi="Lato"/>
          <w:sz w:val="22"/>
          <w:lang w:val="en-US"/>
        </w:rPr>
        <w:t>The other school was indeed taken over by the Ministry of Education. Both schools are now operational and providing educational services</w:t>
      </w:r>
      <w:r w:rsidR="00855666">
        <w:rPr>
          <w:rFonts w:ascii="Lato" w:hAnsi="Lato"/>
          <w:sz w:val="22"/>
          <w:lang w:val="en-US"/>
        </w:rPr>
        <w:t>.</w:t>
      </w:r>
      <w:r w:rsidR="166F3618" w:rsidRPr="3DC006AE">
        <w:rPr>
          <w:rFonts w:ascii="Lato" w:hAnsi="Lato"/>
          <w:sz w:val="22"/>
          <w:lang w:val="en-US"/>
        </w:rPr>
        <w:t xml:space="preserve"> </w:t>
      </w:r>
      <w:r w:rsidR="00621596" w:rsidRPr="239F5A57">
        <w:rPr>
          <w:rFonts w:ascii="Lato" w:hAnsi="Lato"/>
          <w:sz w:val="22"/>
        </w:rPr>
        <w:t>Specifically, the funds were used for cleaning and painting the school, creating a clean and secure environment for children to return to school. This adaptation ensured that the budget was utilized effectively to maximize the project’s impact, supporting both the direct and indirect needs of affected populations.</w:t>
      </w:r>
    </w:p>
    <w:p w14:paraId="6DF47B4A" w14:textId="77777777" w:rsidR="00621596" w:rsidRPr="007865AF" w:rsidRDefault="00621596" w:rsidP="00A82670">
      <w:pPr>
        <w:rPr>
          <w:rFonts w:ascii="Lato" w:hAnsi="Lato"/>
          <w:sz w:val="22"/>
        </w:rPr>
      </w:pPr>
    </w:p>
    <w:p w14:paraId="572ABA8C" w14:textId="62059EBE" w:rsidR="00621596" w:rsidRPr="007865AF" w:rsidRDefault="00621596" w:rsidP="239F5A57">
      <w:pPr>
        <w:rPr>
          <w:rFonts w:ascii="Lato" w:hAnsi="Lato"/>
          <w:sz w:val="22"/>
        </w:rPr>
      </w:pPr>
      <w:r w:rsidRPr="239F5A57">
        <w:rPr>
          <w:rFonts w:ascii="Lato" w:hAnsi="Lato"/>
          <w:sz w:val="22"/>
        </w:rPr>
        <w:t xml:space="preserve">At the same site, the implementation of cash distribution activities </w:t>
      </w:r>
      <w:r w:rsidR="3A3E32AF" w:rsidRPr="239F5A57">
        <w:rPr>
          <w:rFonts w:ascii="Lato" w:hAnsi="Lato"/>
          <w:sz w:val="22"/>
        </w:rPr>
        <w:t>required</w:t>
      </w:r>
      <w:r w:rsidRPr="239F5A57">
        <w:rPr>
          <w:rFonts w:ascii="Lato" w:hAnsi="Lato"/>
          <w:sz w:val="22"/>
        </w:rPr>
        <w:t xml:space="preserve"> </w:t>
      </w:r>
      <w:r w:rsidR="735A73C9" w:rsidRPr="239F5A57">
        <w:rPr>
          <w:rFonts w:ascii="Lato" w:hAnsi="Lato"/>
          <w:sz w:val="22"/>
        </w:rPr>
        <w:t xml:space="preserve">adjustments </w:t>
      </w:r>
      <w:r w:rsidR="5355EBCF" w:rsidRPr="239F5A57">
        <w:rPr>
          <w:rFonts w:ascii="Lato" w:hAnsi="Lato"/>
          <w:sz w:val="22"/>
        </w:rPr>
        <w:t xml:space="preserve">between </w:t>
      </w:r>
      <w:r w:rsidR="034B0E9B" w:rsidRPr="239F5A57">
        <w:rPr>
          <w:rFonts w:ascii="Lato" w:hAnsi="Lato"/>
          <w:sz w:val="22"/>
        </w:rPr>
        <w:t xml:space="preserve">DRA partners </w:t>
      </w:r>
      <w:r w:rsidR="5355EBCF" w:rsidRPr="239F5A57">
        <w:rPr>
          <w:rFonts w:ascii="Lato" w:hAnsi="Lato"/>
          <w:sz w:val="22"/>
        </w:rPr>
        <w:t>Save the Children’s and World Vision’s</w:t>
      </w:r>
      <w:r w:rsidR="2AD90FA3" w:rsidRPr="239F5A57">
        <w:rPr>
          <w:rFonts w:ascii="Lato" w:hAnsi="Lato"/>
          <w:sz w:val="22"/>
        </w:rPr>
        <w:t xml:space="preserve"> initial</w:t>
      </w:r>
      <w:r w:rsidR="5355EBCF" w:rsidRPr="239F5A57">
        <w:rPr>
          <w:rFonts w:ascii="Lato" w:hAnsi="Lato"/>
          <w:sz w:val="22"/>
        </w:rPr>
        <w:t xml:space="preserve"> timelines</w:t>
      </w:r>
      <w:r w:rsidR="6B7516D1" w:rsidRPr="239F5A57">
        <w:rPr>
          <w:rFonts w:ascii="Lato" w:hAnsi="Lato"/>
          <w:sz w:val="22"/>
        </w:rPr>
        <w:t xml:space="preserve"> </w:t>
      </w:r>
      <w:r w:rsidR="1BF57570" w:rsidRPr="239F5A57">
        <w:rPr>
          <w:rFonts w:ascii="Lato" w:hAnsi="Lato"/>
          <w:sz w:val="22"/>
        </w:rPr>
        <w:t>to deliver</w:t>
      </w:r>
      <w:r w:rsidR="6B7516D1" w:rsidRPr="239F5A57">
        <w:rPr>
          <w:rFonts w:ascii="Lato" w:hAnsi="Lato"/>
          <w:sz w:val="22"/>
        </w:rPr>
        <w:t xml:space="preserve"> coordinated interventions on the same site</w:t>
      </w:r>
      <w:r w:rsidRPr="239F5A57">
        <w:rPr>
          <w:rFonts w:ascii="Lato" w:hAnsi="Lato"/>
          <w:sz w:val="22"/>
        </w:rPr>
        <w:t xml:space="preserve">, </w:t>
      </w:r>
      <w:r w:rsidR="7F69C934" w:rsidRPr="239F5A57">
        <w:rPr>
          <w:rFonts w:ascii="Lato" w:hAnsi="Lato"/>
          <w:sz w:val="22"/>
        </w:rPr>
        <w:t xml:space="preserve">with World Vision </w:t>
      </w:r>
      <w:r w:rsidRPr="239F5A57">
        <w:rPr>
          <w:rFonts w:ascii="Lato" w:hAnsi="Lato"/>
          <w:sz w:val="22"/>
        </w:rPr>
        <w:t>providing cash assistance for livelihoods</w:t>
      </w:r>
      <w:r w:rsidR="599FD46B" w:rsidRPr="239F5A57">
        <w:rPr>
          <w:rFonts w:ascii="Lato" w:hAnsi="Lato"/>
          <w:sz w:val="22"/>
        </w:rPr>
        <w:t xml:space="preserve"> on top of the multipurpose cash assistance provided by Save the Children</w:t>
      </w:r>
      <w:r w:rsidRPr="239F5A57">
        <w:rPr>
          <w:rFonts w:ascii="Lato" w:hAnsi="Lato"/>
          <w:sz w:val="22"/>
        </w:rPr>
        <w:t>.</w:t>
      </w:r>
      <w:r w:rsidR="00A43BFF">
        <w:rPr>
          <w:rFonts w:ascii="Lato" w:hAnsi="Lato"/>
          <w:sz w:val="22"/>
        </w:rPr>
        <w:t xml:space="preserve"> </w:t>
      </w:r>
      <w:r w:rsidR="00A43BFF" w:rsidRPr="00A43BFF">
        <w:rPr>
          <w:rFonts w:ascii="Lato" w:hAnsi="Lato"/>
          <w:sz w:val="22"/>
        </w:rPr>
        <w:t>World Vision conducted its single cash transfer in August 2024, while Save the Children carried out its first transfer in September 2024. This sequential approach ensured a coordinated and complementary response.</w:t>
      </w:r>
      <w:r w:rsidRPr="239F5A57">
        <w:rPr>
          <w:rFonts w:ascii="Lato" w:hAnsi="Lato"/>
          <w:sz w:val="22"/>
        </w:rPr>
        <w:t xml:space="preserve"> In line with humanitarian principles of coordination and complementarity, Save the Children adjusted its schedule to ensure families received a coordinated and complementary response</w:t>
      </w:r>
      <w:r w:rsidR="1F574947" w:rsidRPr="239F5A57">
        <w:rPr>
          <w:rFonts w:ascii="Lato" w:hAnsi="Lato"/>
          <w:sz w:val="22"/>
        </w:rPr>
        <w:t>, maximizing impact</w:t>
      </w:r>
      <w:r w:rsidRPr="239F5A57">
        <w:rPr>
          <w:rFonts w:ascii="Lato" w:hAnsi="Lato"/>
          <w:sz w:val="22"/>
        </w:rPr>
        <w:t>. By modifying its timeline, the project avoided duplicating efforts and allowed families to benefit from a</w:t>
      </w:r>
      <w:r w:rsidR="4CA4959C" w:rsidRPr="239F5A57">
        <w:rPr>
          <w:rFonts w:ascii="Lato" w:hAnsi="Lato"/>
          <w:sz w:val="22"/>
        </w:rPr>
        <w:t>n even more</w:t>
      </w:r>
      <w:r w:rsidRPr="239F5A57">
        <w:rPr>
          <w:rFonts w:ascii="Lato" w:hAnsi="Lato"/>
          <w:sz w:val="22"/>
        </w:rPr>
        <w:t xml:space="preserve"> comprehensive package of assistance tailored to their needs</w:t>
      </w:r>
      <w:r w:rsidR="1A08A889" w:rsidRPr="239F5A57">
        <w:rPr>
          <w:rFonts w:ascii="Lato" w:hAnsi="Lato"/>
          <w:sz w:val="22"/>
        </w:rPr>
        <w:t>, enhancing the sustainability of the joint intervention</w:t>
      </w:r>
      <w:r w:rsidRPr="239F5A57">
        <w:rPr>
          <w:rFonts w:ascii="Lato" w:hAnsi="Lato"/>
          <w:sz w:val="22"/>
        </w:rPr>
        <w:t>.</w:t>
      </w:r>
    </w:p>
    <w:p w14:paraId="1D435FA8" w14:textId="77777777" w:rsidR="00621596" w:rsidRPr="007865AF" w:rsidRDefault="00621596" w:rsidP="00A82670">
      <w:pPr>
        <w:rPr>
          <w:rFonts w:ascii="Lato" w:hAnsi="Lato"/>
          <w:sz w:val="22"/>
        </w:rPr>
      </w:pPr>
    </w:p>
    <w:p w14:paraId="0BDEBC4E" w14:textId="32E18F05" w:rsidR="00D11FAF" w:rsidRPr="007865AF" w:rsidRDefault="00621596" w:rsidP="00A82670">
      <w:pPr>
        <w:rPr>
          <w:rFonts w:ascii="Lato" w:hAnsi="Lato"/>
          <w:sz w:val="22"/>
        </w:rPr>
      </w:pPr>
      <w:r w:rsidRPr="007865AF">
        <w:rPr>
          <w:rFonts w:ascii="Lato" w:hAnsi="Lato"/>
          <w:sz w:val="22"/>
        </w:rPr>
        <w:t>Despite these challenges, the project successfully adapted to evolving circumstances through a flexible and collaborative approach. These adaptations not only ensured effective delivery of assistance but also reinforced the accountability, efficiency, and responsiveness of the interventions.</w:t>
      </w:r>
    </w:p>
    <w:p w14:paraId="1E451D09" w14:textId="77777777" w:rsidR="00AC10A3" w:rsidRDefault="00AC10A3" w:rsidP="00AC10A3">
      <w:pPr>
        <w:pStyle w:val="ListParagraph"/>
        <w:spacing w:after="200"/>
        <w:ind w:left="720"/>
        <w:rPr>
          <w:rFonts w:ascii="Lato" w:hAnsi="Lato" w:cstheme="majorBidi"/>
          <w:sz w:val="22"/>
        </w:rPr>
      </w:pPr>
    </w:p>
    <w:p w14:paraId="2E0425D1" w14:textId="77777777" w:rsidR="00D5197A" w:rsidRPr="007865AF" w:rsidRDefault="00D5197A" w:rsidP="00AC10A3">
      <w:pPr>
        <w:pStyle w:val="ListParagraph"/>
        <w:spacing w:after="200"/>
        <w:ind w:left="720"/>
        <w:rPr>
          <w:rFonts w:ascii="Lato" w:hAnsi="Lato" w:cstheme="majorBidi"/>
          <w:sz w:val="22"/>
        </w:rPr>
      </w:pPr>
    </w:p>
    <w:p w14:paraId="7245973B" w14:textId="77777777" w:rsidR="00AC10A3" w:rsidRPr="007865AF" w:rsidRDefault="00AC10A3" w:rsidP="00AC10A3">
      <w:pPr>
        <w:pStyle w:val="ListParagraph"/>
        <w:spacing w:after="200"/>
        <w:ind w:left="720"/>
        <w:rPr>
          <w:rFonts w:ascii="Lato" w:hAnsi="Lato" w:cstheme="majorBidi"/>
          <w:sz w:val="22"/>
        </w:rPr>
      </w:pPr>
    </w:p>
    <w:p w14:paraId="477DE5BA" w14:textId="0BFBCC2E" w:rsidR="00E111F2" w:rsidRDefault="00E111F2" w:rsidP="239F5A57">
      <w:pPr>
        <w:pStyle w:val="ListParagraph"/>
        <w:numPr>
          <w:ilvl w:val="0"/>
          <w:numId w:val="16"/>
        </w:numPr>
        <w:spacing w:after="200"/>
        <w:rPr>
          <w:rFonts w:ascii="Lato" w:hAnsi="Lato" w:cstheme="majorBidi"/>
          <w:sz w:val="22"/>
        </w:rPr>
      </w:pPr>
      <w:r w:rsidRPr="239F5A57">
        <w:rPr>
          <w:rFonts w:ascii="Lato" w:hAnsi="Lato" w:cstheme="majorBidi"/>
          <w:b/>
          <w:bCs/>
          <w:sz w:val="22"/>
        </w:rPr>
        <w:t>Measuring Results</w:t>
      </w:r>
      <w:r w:rsidRPr="239F5A57">
        <w:rPr>
          <w:rFonts w:ascii="Lato" w:hAnsi="Lato" w:cstheme="majorBidi"/>
          <w:sz w:val="22"/>
        </w:rPr>
        <w:t xml:space="preserve">: </w:t>
      </w:r>
    </w:p>
    <w:p w14:paraId="19183B83" w14:textId="77777777" w:rsidR="00E111F2" w:rsidRPr="007865AF" w:rsidRDefault="00E111F2" w:rsidP="1764AD2B">
      <w:pPr>
        <w:spacing w:after="200"/>
        <w:rPr>
          <w:rFonts w:ascii="Lato" w:hAnsi="Lato" w:cstheme="majorBidi"/>
          <w:sz w:val="22"/>
        </w:rPr>
      </w:pPr>
    </w:p>
    <w:p w14:paraId="4917A6C4" w14:textId="7671A4C6" w:rsidR="1764AD2B" w:rsidRDefault="1764AD2B" w:rsidP="1764AD2B">
      <w:pPr>
        <w:spacing w:after="200"/>
        <w:rPr>
          <w:rFonts w:ascii="Lato" w:hAnsi="Lato" w:cstheme="majorBidi"/>
          <w:sz w:val="22"/>
        </w:rPr>
      </w:pPr>
    </w:p>
    <w:p w14:paraId="547FDEC2" w14:textId="77777777" w:rsidR="005A05D6" w:rsidRDefault="005A05D6" w:rsidP="1764AD2B">
      <w:pPr>
        <w:spacing w:after="200"/>
        <w:rPr>
          <w:rFonts w:ascii="Lato" w:hAnsi="Lato" w:cstheme="majorBidi"/>
          <w:sz w:val="22"/>
        </w:rPr>
      </w:pPr>
    </w:p>
    <w:p w14:paraId="15EBBBFB" w14:textId="77777777" w:rsidR="005A05D6" w:rsidRDefault="005A05D6" w:rsidP="1764AD2B">
      <w:pPr>
        <w:spacing w:after="200"/>
        <w:rPr>
          <w:rFonts w:ascii="Lato" w:hAnsi="Lato" w:cstheme="majorBidi"/>
          <w:sz w:val="22"/>
        </w:rPr>
      </w:pPr>
    </w:p>
    <w:p w14:paraId="38BFA493" w14:textId="77777777" w:rsidR="005A05D6" w:rsidRDefault="005A05D6" w:rsidP="1764AD2B">
      <w:pPr>
        <w:spacing w:after="200"/>
        <w:rPr>
          <w:rFonts w:ascii="Lato" w:hAnsi="Lato" w:cstheme="majorBidi"/>
          <w:sz w:val="22"/>
        </w:rPr>
      </w:pPr>
    </w:p>
    <w:p w14:paraId="0B34F761" w14:textId="77777777" w:rsidR="005A05D6" w:rsidRDefault="005A05D6" w:rsidP="1764AD2B">
      <w:pPr>
        <w:spacing w:after="200"/>
        <w:rPr>
          <w:rFonts w:ascii="Lato" w:hAnsi="Lato" w:cstheme="majorBidi"/>
          <w:sz w:val="22"/>
        </w:rPr>
      </w:pPr>
    </w:p>
    <w:p w14:paraId="2FC90EF0" w14:textId="77777777" w:rsidR="005A05D6" w:rsidRDefault="005A05D6" w:rsidP="1764AD2B">
      <w:pPr>
        <w:spacing w:after="200"/>
        <w:rPr>
          <w:rFonts w:ascii="Lato" w:hAnsi="Lato" w:cstheme="majorBidi"/>
          <w:sz w:val="22"/>
        </w:rPr>
      </w:pPr>
    </w:p>
    <w:p w14:paraId="1E24CA32" w14:textId="77777777" w:rsidR="005A05D6" w:rsidRDefault="005A05D6" w:rsidP="1764AD2B">
      <w:pPr>
        <w:spacing w:after="200"/>
        <w:rPr>
          <w:rFonts w:ascii="Lato" w:hAnsi="Lato" w:cstheme="majorBidi"/>
          <w:sz w:val="22"/>
        </w:rPr>
      </w:pPr>
    </w:p>
    <w:p w14:paraId="7CF65307" w14:textId="77777777" w:rsidR="005A05D6" w:rsidRDefault="005A05D6" w:rsidP="1764AD2B">
      <w:pPr>
        <w:spacing w:after="200"/>
        <w:rPr>
          <w:rFonts w:ascii="Lato" w:hAnsi="Lato" w:cstheme="majorBidi"/>
          <w:sz w:val="22"/>
        </w:rPr>
      </w:pPr>
    </w:p>
    <w:p w14:paraId="6AF65557" w14:textId="77777777" w:rsidR="005A05D6" w:rsidRDefault="005A05D6" w:rsidP="1764AD2B">
      <w:pPr>
        <w:spacing w:after="200"/>
        <w:rPr>
          <w:rFonts w:ascii="Lato" w:hAnsi="Lato" w:cstheme="majorBidi"/>
          <w:sz w:val="22"/>
        </w:rPr>
      </w:pPr>
    </w:p>
    <w:tbl>
      <w:tblPr>
        <w:tblW w:w="11745" w:type="dxa"/>
        <w:tblLayout w:type="fixed"/>
        <w:tblLook w:val="04A0" w:firstRow="1" w:lastRow="0" w:firstColumn="1" w:lastColumn="0" w:noHBand="0" w:noVBand="1"/>
      </w:tblPr>
      <w:tblGrid>
        <w:gridCol w:w="983"/>
        <w:gridCol w:w="855"/>
        <w:gridCol w:w="2835"/>
        <w:gridCol w:w="851"/>
        <w:gridCol w:w="1134"/>
        <w:gridCol w:w="1842"/>
        <w:gridCol w:w="1985"/>
        <w:gridCol w:w="1260"/>
      </w:tblGrid>
      <w:tr w:rsidR="002463B5" w14:paraId="15F76E73" w14:textId="77777777" w:rsidTr="00776E21">
        <w:trPr>
          <w:trHeight w:val="1056"/>
        </w:trPr>
        <w:tc>
          <w:tcPr>
            <w:tcW w:w="98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4DE72CC" w14:textId="6D7BA4D8" w:rsidR="003568EF" w:rsidRPr="008161CC" w:rsidRDefault="003568EF" w:rsidP="7DA89621">
            <w:pPr>
              <w:jc w:val="center"/>
              <w:rPr>
                <w:rFonts w:ascii="Lato" w:eastAsia="Lato" w:hAnsi="Lato" w:cs="Lato"/>
                <w:b/>
                <w:bCs/>
                <w:color w:val="000000" w:themeColor="text1"/>
                <w:sz w:val="18"/>
                <w:szCs w:val="18"/>
              </w:rPr>
            </w:pPr>
            <w:r w:rsidRPr="008161CC">
              <w:rPr>
                <w:rFonts w:ascii="Lato" w:eastAsia="Lato" w:hAnsi="Lato" w:cs="Lato"/>
                <w:b/>
                <w:bCs/>
                <w:color w:val="000000" w:themeColor="text1"/>
                <w:sz w:val="18"/>
                <w:szCs w:val="18"/>
              </w:rPr>
              <w:lastRenderedPageBreak/>
              <w:t>SECTOR</w:t>
            </w:r>
          </w:p>
        </w:tc>
        <w:tc>
          <w:tcPr>
            <w:tcW w:w="85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6F59B58" w14:textId="1A9FC9B0" w:rsidR="003568EF" w:rsidRPr="008161CC" w:rsidRDefault="003568EF" w:rsidP="7DA89621">
            <w:pPr>
              <w:jc w:val="center"/>
              <w:rPr>
                <w:rFonts w:ascii="Lato" w:eastAsia="Lato" w:hAnsi="Lato" w:cs="Lato"/>
                <w:color w:val="000000" w:themeColor="text1"/>
                <w:sz w:val="18"/>
                <w:szCs w:val="18"/>
              </w:rPr>
            </w:pPr>
            <w:r w:rsidRPr="008161CC">
              <w:rPr>
                <w:rFonts w:ascii="Lato" w:eastAsia="Lato" w:hAnsi="Lato" w:cs="Lato"/>
                <w:b/>
                <w:bCs/>
                <w:color w:val="000000" w:themeColor="text1"/>
                <w:sz w:val="18"/>
                <w:szCs w:val="18"/>
              </w:rPr>
              <w:t>Level of Results</w:t>
            </w:r>
            <w:r w:rsidRPr="008161CC">
              <w:rPr>
                <w:rFonts w:ascii="Lato" w:eastAsia="Lato" w:hAnsi="Lato" w:cs="Lato"/>
                <w:color w:val="000000" w:themeColor="text1"/>
                <w:sz w:val="18"/>
                <w:szCs w:val="18"/>
              </w:rPr>
              <w:t xml:space="preserve"> </w:t>
            </w:r>
          </w:p>
        </w:tc>
        <w:tc>
          <w:tcPr>
            <w:tcW w:w="283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1F7F882" w14:textId="6DBB2B5E" w:rsidR="003568EF" w:rsidRDefault="003568EF" w:rsidP="7DA89621">
            <w:pPr>
              <w:jc w:val="center"/>
              <w:rPr>
                <w:rFonts w:ascii="Lato" w:eastAsia="Lato" w:hAnsi="Lato" w:cs="Lato"/>
                <w:color w:val="000000" w:themeColor="text1"/>
                <w:sz w:val="22"/>
              </w:rPr>
            </w:pPr>
            <w:r w:rsidRPr="7DA89621">
              <w:rPr>
                <w:rFonts w:ascii="Lato" w:eastAsia="Lato" w:hAnsi="Lato" w:cs="Lato"/>
                <w:b/>
                <w:bCs/>
                <w:color w:val="000000" w:themeColor="text1"/>
                <w:sz w:val="22"/>
              </w:rPr>
              <w:t>Indicator(s)</w:t>
            </w:r>
            <w:r w:rsidRPr="7DA89621">
              <w:rPr>
                <w:rFonts w:ascii="Lato" w:eastAsia="Lato" w:hAnsi="Lato" w:cs="Lato"/>
                <w:color w:val="000000" w:themeColor="text1"/>
                <w:sz w:val="22"/>
              </w:rPr>
              <w:t xml:space="preserve"> </w:t>
            </w:r>
          </w:p>
        </w:tc>
        <w:tc>
          <w:tcPr>
            <w:tcW w:w="851" w:type="dxa"/>
            <w:tcBorders>
              <w:top w:val="single" w:sz="4" w:space="0" w:color="auto"/>
              <w:left w:val="single" w:sz="4" w:space="0" w:color="auto"/>
              <w:right w:val="single" w:sz="4" w:space="0" w:color="auto"/>
            </w:tcBorders>
            <w:tcMar>
              <w:left w:w="108" w:type="dxa"/>
              <w:right w:w="108" w:type="dxa"/>
            </w:tcMar>
            <w:vAlign w:val="center"/>
          </w:tcPr>
          <w:p w14:paraId="7397CD1C" w14:textId="77777777" w:rsidR="003568EF" w:rsidRDefault="003568EF" w:rsidP="7DA89621">
            <w:pPr>
              <w:jc w:val="center"/>
              <w:rPr>
                <w:rFonts w:ascii="Lato" w:eastAsia="Lato" w:hAnsi="Lato" w:cs="Lato"/>
                <w:b/>
                <w:bCs/>
                <w:color w:val="000000" w:themeColor="text1"/>
                <w:sz w:val="22"/>
              </w:rPr>
            </w:pPr>
            <w:r w:rsidRPr="7DA89621">
              <w:rPr>
                <w:rFonts w:ascii="Lato" w:eastAsia="Lato" w:hAnsi="Lato" w:cs="Lato"/>
                <w:b/>
                <w:bCs/>
                <w:color w:val="000000" w:themeColor="text1"/>
                <w:sz w:val="22"/>
              </w:rPr>
              <w:t>Base</w:t>
            </w:r>
          </w:p>
          <w:p w14:paraId="2C0773CB" w14:textId="77777777" w:rsidR="003568EF" w:rsidRDefault="003568EF" w:rsidP="7DA89621">
            <w:pPr>
              <w:jc w:val="center"/>
              <w:rPr>
                <w:rFonts w:ascii="Lato" w:eastAsia="Lato" w:hAnsi="Lato" w:cs="Lato"/>
                <w:color w:val="000000" w:themeColor="text1"/>
                <w:sz w:val="22"/>
              </w:rPr>
            </w:pPr>
            <w:r w:rsidRPr="7DA89621">
              <w:rPr>
                <w:rFonts w:ascii="Lato" w:eastAsia="Lato" w:hAnsi="Lato" w:cs="Lato"/>
                <w:b/>
                <w:bCs/>
                <w:color w:val="000000" w:themeColor="text1"/>
                <w:sz w:val="22"/>
              </w:rPr>
              <w:t xml:space="preserve">line </w:t>
            </w:r>
            <w:r w:rsidRPr="7DA89621">
              <w:rPr>
                <w:rFonts w:ascii="Lato" w:eastAsia="Lato" w:hAnsi="Lato" w:cs="Lato"/>
                <w:color w:val="000000" w:themeColor="text1"/>
                <w:sz w:val="22"/>
              </w:rPr>
              <w:t xml:space="preserve"> </w:t>
            </w:r>
          </w:p>
          <w:p w14:paraId="4A53002A" w14:textId="077B6768" w:rsidR="003568EF" w:rsidRDefault="003568EF" w:rsidP="7DA89621">
            <w:pPr>
              <w:jc w:val="center"/>
              <w:rPr>
                <w:rFonts w:ascii="Lato" w:eastAsia="Lato" w:hAnsi="Lato" w:cs="Lato"/>
                <w:color w:val="000000" w:themeColor="text1"/>
                <w:sz w:val="22"/>
              </w:rPr>
            </w:pPr>
          </w:p>
        </w:tc>
        <w:tc>
          <w:tcPr>
            <w:tcW w:w="1134"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98FA27A" w14:textId="0879BC77" w:rsidR="003568EF" w:rsidRDefault="003568EF" w:rsidP="7DA89621">
            <w:pPr>
              <w:jc w:val="center"/>
              <w:rPr>
                <w:rFonts w:ascii="Lato" w:eastAsia="Lato" w:hAnsi="Lato" w:cs="Lato"/>
                <w:color w:val="000000" w:themeColor="text1"/>
                <w:sz w:val="22"/>
              </w:rPr>
            </w:pPr>
            <w:r w:rsidRPr="7DA89621">
              <w:rPr>
                <w:rFonts w:ascii="Lato" w:eastAsia="Lato" w:hAnsi="Lato" w:cs="Lato"/>
                <w:b/>
                <w:bCs/>
                <w:color w:val="000000" w:themeColor="text1"/>
                <w:sz w:val="22"/>
              </w:rPr>
              <w:t>Targets and Milestones</w:t>
            </w:r>
            <w:r w:rsidRPr="7DA89621">
              <w:rPr>
                <w:rFonts w:ascii="Lato" w:eastAsia="Lato" w:hAnsi="Lato" w:cs="Lato"/>
                <w:color w:val="000000" w:themeColor="text1"/>
                <w:sz w:val="22"/>
              </w:rPr>
              <w:t xml:space="preserve"> </w:t>
            </w:r>
          </w:p>
        </w:tc>
        <w:tc>
          <w:tcPr>
            <w:tcW w:w="1842"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E1B5DDC" w14:textId="51E5E826" w:rsidR="003568EF" w:rsidRDefault="003568EF" w:rsidP="7DA89621">
            <w:pPr>
              <w:jc w:val="center"/>
              <w:rPr>
                <w:rFonts w:ascii="Lato" w:eastAsia="Lato" w:hAnsi="Lato" w:cs="Lato"/>
                <w:color w:val="000000" w:themeColor="text1"/>
                <w:sz w:val="22"/>
              </w:rPr>
            </w:pPr>
            <w:r w:rsidRPr="7DA89621">
              <w:rPr>
                <w:rFonts w:ascii="Lato" w:eastAsia="Lato" w:hAnsi="Lato" w:cs="Lato"/>
                <w:b/>
                <w:bCs/>
                <w:color w:val="000000" w:themeColor="text1"/>
                <w:sz w:val="22"/>
              </w:rPr>
              <w:t>Progress/ Achievement to date</w:t>
            </w:r>
            <w:r w:rsidRPr="7DA89621">
              <w:rPr>
                <w:rFonts w:ascii="Lato" w:eastAsia="Lato" w:hAnsi="Lato" w:cs="Lato"/>
                <w:color w:val="000000" w:themeColor="text1"/>
                <w:sz w:val="22"/>
              </w:rPr>
              <w:t xml:space="preserve"> </w:t>
            </w:r>
          </w:p>
        </w:tc>
        <w:tc>
          <w:tcPr>
            <w:tcW w:w="198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73D2023" w14:textId="65B62E77" w:rsidR="003568EF" w:rsidRDefault="003568EF" w:rsidP="7DA89621">
            <w:pPr>
              <w:jc w:val="center"/>
              <w:rPr>
                <w:rFonts w:ascii="Lato" w:eastAsia="Lato" w:hAnsi="Lato" w:cs="Lato"/>
                <w:color w:val="000000" w:themeColor="text1"/>
                <w:sz w:val="22"/>
              </w:rPr>
            </w:pPr>
            <w:r w:rsidRPr="7DA89621">
              <w:rPr>
                <w:rFonts w:ascii="Lato" w:eastAsia="Lato" w:hAnsi="Lato" w:cs="Lato"/>
                <w:b/>
                <w:bCs/>
                <w:color w:val="000000" w:themeColor="text1"/>
                <w:sz w:val="22"/>
              </w:rPr>
              <w:t>Explanation of Variance</w:t>
            </w:r>
            <w:r w:rsidRPr="7DA89621">
              <w:rPr>
                <w:rFonts w:ascii="Lato" w:eastAsia="Lato" w:hAnsi="Lato" w:cs="Lato"/>
                <w:color w:val="000000" w:themeColor="text1"/>
                <w:sz w:val="22"/>
              </w:rPr>
              <w:t xml:space="preserve"> </w:t>
            </w:r>
          </w:p>
        </w:tc>
        <w:tc>
          <w:tcPr>
            <w:tcW w:w="126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AEDDC65" w14:textId="77777777" w:rsidR="003568EF" w:rsidRDefault="003568EF" w:rsidP="7DA89621">
            <w:pPr>
              <w:jc w:val="center"/>
              <w:rPr>
                <w:rFonts w:ascii="Lato" w:eastAsia="Lato" w:hAnsi="Lato" w:cs="Lato"/>
                <w:b/>
                <w:bCs/>
                <w:color w:val="000000" w:themeColor="text1"/>
                <w:sz w:val="22"/>
              </w:rPr>
            </w:pPr>
            <w:r w:rsidRPr="7DA89621">
              <w:rPr>
                <w:rFonts w:ascii="Lato" w:eastAsia="Lato" w:hAnsi="Lato" w:cs="Lato"/>
                <w:b/>
                <w:bCs/>
                <w:color w:val="000000" w:themeColor="text1"/>
                <w:sz w:val="22"/>
              </w:rPr>
              <w:t>Source/</w:t>
            </w:r>
          </w:p>
          <w:p w14:paraId="0A3A19C1" w14:textId="59714EEE" w:rsidR="003568EF" w:rsidRDefault="003568EF" w:rsidP="7DA89621">
            <w:pPr>
              <w:jc w:val="center"/>
              <w:rPr>
                <w:rFonts w:ascii="Lato" w:eastAsia="Lato" w:hAnsi="Lato" w:cs="Lato"/>
                <w:color w:val="000000" w:themeColor="text1"/>
                <w:sz w:val="22"/>
              </w:rPr>
            </w:pPr>
            <w:r w:rsidRPr="7DA89621">
              <w:rPr>
                <w:rFonts w:ascii="Lato" w:eastAsia="Lato" w:hAnsi="Lato" w:cs="Lato"/>
                <w:b/>
                <w:bCs/>
                <w:color w:val="000000" w:themeColor="text1"/>
                <w:sz w:val="22"/>
              </w:rPr>
              <w:t>Method of Verification</w:t>
            </w:r>
            <w:r w:rsidRPr="7DA89621">
              <w:rPr>
                <w:rFonts w:ascii="Lato" w:eastAsia="Lato" w:hAnsi="Lato" w:cs="Lato"/>
                <w:color w:val="000000" w:themeColor="text1"/>
                <w:sz w:val="22"/>
              </w:rPr>
              <w:t xml:space="preserve"> </w:t>
            </w:r>
          </w:p>
        </w:tc>
      </w:tr>
      <w:tr w:rsidR="00927904" w:rsidRPr="00787CD8" w14:paraId="3C0E0E64" w14:textId="77777777" w:rsidTr="4CA2BE91">
        <w:trPr>
          <w:trHeight w:val="1342"/>
        </w:trPr>
        <w:tc>
          <w:tcPr>
            <w:tcW w:w="983" w:type="dxa"/>
            <w:vMerge w:val="restart"/>
            <w:tcBorders>
              <w:top w:val="single" w:sz="4" w:space="0" w:color="auto"/>
              <w:left w:val="single" w:sz="4" w:space="0" w:color="auto"/>
              <w:bottom w:val="single" w:sz="4" w:space="0" w:color="auto"/>
              <w:right w:val="single" w:sz="4" w:space="0" w:color="auto"/>
            </w:tcBorders>
            <w:shd w:val="clear" w:color="auto" w:fill="F7C7AC"/>
            <w:tcMar>
              <w:left w:w="108" w:type="dxa"/>
              <w:right w:w="108" w:type="dxa"/>
            </w:tcMar>
            <w:textDirection w:val="btLr"/>
            <w:vAlign w:val="center"/>
          </w:tcPr>
          <w:p w14:paraId="011647B4" w14:textId="15B7DC1E" w:rsidR="7DA89621" w:rsidRDefault="7DA89621" w:rsidP="008161CC">
            <w:pPr>
              <w:ind w:left="113" w:right="113"/>
              <w:jc w:val="center"/>
              <w:rPr>
                <w:rFonts w:ascii="Lato" w:eastAsia="Lato" w:hAnsi="Lato" w:cs="Lato"/>
                <w:b/>
                <w:bCs/>
                <w:color w:val="000000" w:themeColor="text1"/>
                <w:sz w:val="22"/>
              </w:rPr>
            </w:pPr>
            <w:r w:rsidRPr="7DA89621">
              <w:rPr>
                <w:rFonts w:ascii="Lato" w:eastAsia="Lato" w:hAnsi="Lato" w:cs="Lato"/>
                <w:b/>
                <w:bCs/>
                <w:color w:val="000000" w:themeColor="text1"/>
                <w:sz w:val="22"/>
              </w:rPr>
              <w:t>EDUCATION (EDU)</w:t>
            </w:r>
          </w:p>
        </w:tc>
        <w:tc>
          <w:tcPr>
            <w:tcW w:w="855" w:type="dxa"/>
            <w:vMerge w:val="restart"/>
            <w:tcBorders>
              <w:top w:val="single" w:sz="4" w:space="0" w:color="auto"/>
              <w:left w:val="single" w:sz="4" w:space="0" w:color="auto"/>
              <w:bottom w:val="single" w:sz="4" w:space="0" w:color="auto"/>
              <w:right w:val="single" w:sz="4" w:space="0" w:color="auto"/>
            </w:tcBorders>
            <w:tcMar>
              <w:left w:w="108" w:type="dxa"/>
              <w:right w:w="108" w:type="dxa"/>
            </w:tcMar>
            <w:textDirection w:val="btLr"/>
            <w:vAlign w:val="center"/>
          </w:tcPr>
          <w:p w14:paraId="54BF3FCE" w14:textId="0079DF5A" w:rsidR="7DA89621" w:rsidRDefault="7DA89621" w:rsidP="008161CC">
            <w:pPr>
              <w:ind w:left="113" w:right="113"/>
              <w:rPr>
                <w:rFonts w:ascii="Lato" w:eastAsia="Lato" w:hAnsi="Lato" w:cs="Lato"/>
                <w:color w:val="000000" w:themeColor="text1"/>
                <w:sz w:val="22"/>
              </w:rPr>
            </w:pPr>
            <w:r w:rsidRPr="7DA89621">
              <w:rPr>
                <w:rFonts w:ascii="Lato" w:eastAsia="Lato" w:hAnsi="Lato" w:cs="Lato"/>
                <w:b/>
                <w:bCs/>
                <w:color w:val="000000" w:themeColor="text1"/>
                <w:sz w:val="22"/>
              </w:rPr>
              <w:t xml:space="preserve">Outcome(s) </w:t>
            </w:r>
            <w:r w:rsidRPr="7DA89621">
              <w:rPr>
                <w:rFonts w:ascii="Lato" w:eastAsia="Lato" w:hAnsi="Lato" w:cs="Lato"/>
                <w:color w:val="000000" w:themeColor="text1"/>
                <w:sz w:val="22"/>
              </w:rPr>
              <w:t xml:space="preserve"> </w:t>
            </w:r>
          </w:p>
          <w:p w14:paraId="14739007" w14:textId="04159565" w:rsidR="7DA89621" w:rsidRDefault="7DA89621" w:rsidP="008161CC">
            <w:pPr>
              <w:ind w:left="113" w:right="113"/>
              <w:rPr>
                <w:rFonts w:ascii="Lato" w:eastAsia="Lato" w:hAnsi="Lato" w:cs="Lato"/>
                <w:b/>
                <w:bCs/>
                <w:color w:val="000000" w:themeColor="text1"/>
                <w:sz w:val="22"/>
                <w:lang w:val="fr"/>
              </w:rPr>
            </w:pPr>
            <w:r w:rsidRPr="7DA89621">
              <w:rPr>
                <w:rFonts w:ascii="Lato" w:eastAsia="Lato" w:hAnsi="Lato" w:cs="Lato"/>
                <w:b/>
                <w:bCs/>
                <w:color w:val="000000" w:themeColor="text1"/>
                <w:sz w:val="22"/>
                <w:lang w:val="fr"/>
              </w:rPr>
              <w:t xml:space="preserve"> </w:t>
            </w:r>
          </w:p>
        </w:tc>
        <w:tc>
          <w:tcPr>
            <w:tcW w:w="2835" w:type="dxa"/>
            <w:tcBorders>
              <w:top w:val="single" w:sz="4" w:space="0" w:color="auto"/>
              <w:left w:val="single" w:sz="4" w:space="0" w:color="auto"/>
              <w:bottom w:val="single" w:sz="4" w:space="0" w:color="auto"/>
              <w:right w:val="single" w:sz="4" w:space="0" w:color="auto"/>
            </w:tcBorders>
            <w:shd w:val="clear" w:color="auto" w:fill="F7C7AC"/>
            <w:tcMar>
              <w:left w:w="108" w:type="dxa"/>
              <w:right w:w="108" w:type="dxa"/>
            </w:tcMar>
            <w:vAlign w:val="center"/>
          </w:tcPr>
          <w:p w14:paraId="1D2CCEEB" w14:textId="2CFD62B1" w:rsidR="7DA89621" w:rsidRDefault="7DA89621" w:rsidP="003568EF">
            <w:pPr>
              <w:spacing w:after="240"/>
              <w:jc w:val="left"/>
              <w:rPr>
                <w:rFonts w:ascii="Lato" w:eastAsia="Lato" w:hAnsi="Lato" w:cs="Lato"/>
                <w:b/>
                <w:bCs/>
                <w:sz w:val="22"/>
              </w:rPr>
            </w:pPr>
            <w:r w:rsidRPr="7DA89621">
              <w:rPr>
                <w:rFonts w:ascii="Lato" w:eastAsia="Lato" w:hAnsi="Lato" w:cs="Lato"/>
                <w:b/>
                <w:bCs/>
                <w:sz w:val="22"/>
              </w:rPr>
              <w:t>% targeted girls and boys who are retained in education at the end of the action</w:t>
            </w:r>
          </w:p>
        </w:tc>
        <w:tc>
          <w:tcPr>
            <w:tcW w:w="851" w:type="dxa"/>
            <w:tcBorders>
              <w:top w:val="single" w:sz="4" w:space="0" w:color="auto"/>
              <w:left w:val="single" w:sz="4" w:space="0" w:color="auto"/>
              <w:bottom w:val="single" w:sz="4" w:space="0" w:color="auto"/>
              <w:right w:val="single" w:sz="4" w:space="0" w:color="auto"/>
            </w:tcBorders>
            <w:shd w:val="clear" w:color="auto" w:fill="F7C7AC"/>
            <w:tcMar>
              <w:left w:w="108" w:type="dxa"/>
              <w:right w:w="108" w:type="dxa"/>
            </w:tcMar>
            <w:vAlign w:val="center"/>
          </w:tcPr>
          <w:p w14:paraId="07781C02" w14:textId="09FA2399" w:rsidR="7DA89621" w:rsidRDefault="7DA89621" w:rsidP="7DA89621">
            <w:pPr>
              <w:rPr>
                <w:rFonts w:ascii="Lato" w:eastAsia="Lato" w:hAnsi="Lato" w:cs="Lato"/>
                <w:sz w:val="22"/>
              </w:rPr>
            </w:pPr>
            <w:r w:rsidRPr="7DA89621">
              <w:rPr>
                <w:rFonts w:ascii="Lato" w:eastAsia="Lato" w:hAnsi="Lato" w:cs="Lato"/>
                <w:sz w:val="22"/>
              </w:rPr>
              <w:t>0</w:t>
            </w:r>
          </w:p>
        </w:tc>
        <w:tc>
          <w:tcPr>
            <w:tcW w:w="1134" w:type="dxa"/>
            <w:tcBorders>
              <w:top w:val="single" w:sz="4" w:space="0" w:color="auto"/>
              <w:left w:val="single" w:sz="4" w:space="0" w:color="auto"/>
              <w:bottom w:val="single" w:sz="4" w:space="0" w:color="auto"/>
              <w:right w:val="single" w:sz="4" w:space="0" w:color="auto"/>
            </w:tcBorders>
            <w:shd w:val="clear" w:color="auto" w:fill="D6AC95"/>
            <w:tcMar>
              <w:left w:w="108" w:type="dxa"/>
              <w:right w:w="108" w:type="dxa"/>
            </w:tcMar>
            <w:vAlign w:val="center"/>
          </w:tcPr>
          <w:p w14:paraId="21EDD269" w14:textId="15C80F4B" w:rsidR="7DA89621" w:rsidRDefault="7DA89621" w:rsidP="7DA89621">
            <w:pPr>
              <w:jc w:val="center"/>
              <w:rPr>
                <w:rFonts w:ascii="Lato" w:eastAsia="Lato" w:hAnsi="Lato" w:cs="Lato"/>
                <w:i/>
                <w:iCs/>
                <w:color w:val="000000" w:themeColor="text1"/>
                <w:sz w:val="22"/>
              </w:rPr>
            </w:pPr>
            <w:r w:rsidRPr="7DA89621">
              <w:rPr>
                <w:rFonts w:ascii="Lato" w:eastAsia="Lato" w:hAnsi="Lato" w:cs="Lato"/>
                <w:i/>
                <w:iCs/>
                <w:color w:val="000000" w:themeColor="text1"/>
                <w:sz w:val="22"/>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F7C7AC"/>
            <w:tcMar>
              <w:left w:w="108" w:type="dxa"/>
              <w:right w:w="108" w:type="dxa"/>
            </w:tcMar>
            <w:vAlign w:val="center"/>
          </w:tcPr>
          <w:p w14:paraId="41032A33" w14:textId="4BE86394" w:rsidR="7DA89621" w:rsidRDefault="7DA89621" w:rsidP="7DA89621">
            <w:pPr>
              <w:rPr>
                <w:rFonts w:ascii="Lato" w:eastAsia="Lato" w:hAnsi="Lato" w:cs="Lato"/>
                <w:sz w:val="22"/>
                <w:lang w:val="fr-FR"/>
              </w:rPr>
            </w:pPr>
            <w:r w:rsidRPr="7DA89621">
              <w:rPr>
                <w:rFonts w:ascii="Lato" w:eastAsia="Lato" w:hAnsi="Lato" w:cs="Lato"/>
                <w:sz w:val="22"/>
                <w:lang w:val="fr-FR"/>
              </w:rPr>
              <w:t>Ecole Nouvelle Zoranje: 100%</w:t>
            </w:r>
            <w:r w:rsidRPr="008161CC">
              <w:rPr>
                <w:lang w:val="nl-NL"/>
              </w:rPr>
              <w:br/>
            </w:r>
            <w:r w:rsidRPr="7DA89621">
              <w:rPr>
                <w:rFonts w:ascii="Lato" w:eastAsia="Lato" w:hAnsi="Lato" w:cs="Lato"/>
                <w:sz w:val="22"/>
                <w:lang w:val="fr-FR"/>
              </w:rPr>
              <w:t xml:space="preserve"> Ecole Nationale Zoranje: 100%"</w:t>
            </w:r>
          </w:p>
        </w:tc>
        <w:tc>
          <w:tcPr>
            <w:tcW w:w="1985" w:type="dxa"/>
            <w:tcBorders>
              <w:top w:val="single" w:sz="4" w:space="0" w:color="auto"/>
              <w:left w:val="single" w:sz="4" w:space="0" w:color="auto"/>
              <w:bottom w:val="single" w:sz="4" w:space="0" w:color="auto"/>
              <w:right w:val="single" w:sz="4" w:space="0" w:color="auto"/>
            </w:tcBorders>
            <w:shd w:val="clear" w:color="auto" w:fill="F7C7AC"/>
            <w:tcMar>
              <w:left w:w="108" w:type="dxa"/>
              <w:right w:w="108" w:type="dxa"/>
            </w:tcMar>
            <w:vAlign w:val="center"/>
          </w:tcPr>
          <w:p w14:paraId="171374EA" w14:textId="43AF106B" w:rsidR="7DA89621" w:rsidRDefault="7DA89621" w:rsidP="7DA89621">
            <w:pPr>
              <w:rPr>
                <w:rFonts w:ascii="Lato" w:eastAsia="Lato" w:hAnsi="Lato" w:cs="Lato"/>
                <w:sz w:val="22"/>
                <w:lang w:val="fr"/>
              </w:rPr>
            </w:pPr>
            <w:r w:rsidRPr="7DA89621">
              <w:rPr>
                <w:rFonts w:ascii="Lato" w:eastAsia="Lato" w:hAnsi="Lato" w:cs="Lato"/>
                <w:sz w:val="22"/>
                <w:lang w:val="fr"/>
              </w:rPr>
              <w:t xml:space="preserve"> </w:t>
            </w:r>
          </w:p>
        </w:tc>
        <w:tc>
          <w:tcPr>
            <w:tcW w:w="1260" w:type="dxa"/>
            <w:tcBorders>
              <w:top w:val="single" w:sz="4" w:space="0" w:color="auto"/>
              <w:left w:val="single" w:sz="4" w:space="0" w:color="auto"/>
              <w:bottom w:val="single" w:sz="4" w:space="0" w:color="auto"/>
              <w:right w:val="single" w:sz="4" w:space="0" w:color="auto"/>
            </w:tcBorders>
            <w:shd w:val="clear" w:color="auto" w:fill="F7C7AC"/>
            <w:tcMar>
              <w:left w:w="108" w:type="dxa"/>
              <w:right w:w="108" w:type="dxa"/>
            </w:tcMar>
            <w:vAlign w:val="center"/>
          </w:tcPr>
          <w:p w14:paraId="52C851C2" w14:textId="786BE282" w:rsidR="7DA89621" w:rsidRDefault="7DA89621" w:rsidP="7DA89621">
            <w:pPr>
              <w:rPr>
                <w:rFonts w:ascii="Lato" w:eastAsia="Lato" w:hAnsi="Lato" w:cs="Lato"/>
                <w:sz w:val="22"/>
                <w:lang w:val="fr"/>
              </w:rPr>
            </w:pPr>
            <w:r w:rsidRPr="7DA89621">
              <w:rPr>
                <w:rFonts w:ascii="Lato" w:eastAsia="Lato" w:hAnsi="Lato" w:cs="Lato"/>
                <w:sz w:val="22"/>
                <w:lang w:val="fr"/>
              </w:rPr>
              <w:t xml:space="preserve"> </w:t>
            </w:r>
          </w:p>
        </w:tc>
      </w:tr>
      <w:tr w:rsidR="005D4284" w:rsidRPr="00787CD8" w14:paraId="61F7818B" w14:textId="77777777" w:rsidTr="00776E21">
        <w:trPr>
          <w:trHeight w:val="300"/>
        </w:trPr>
        <w:tc>
          <w:tcPr>
            <w:tcW w:w="983" w:type="dxa"/>
            <w:vMerge/>
            <w:tcBorders>
              <w:left w:val="single" w:sz="4" w:space="0" w:color="auto"/>
              <w:bottom w:val="single" w:sz="4" w:space="0" w:color="auto"/>
              <w:right w:val="single" w:sz="4" w:space="0" w:color="auto"/>
            </w:tcBorders>
            <w:textDirection w:val="btLr"/>
            <w:vAlign w:val="center"/>
          </w:tcPr>
          <w:p w14:paraId="6C34D638" w14:textId="77777777" w:rsidR="00F46EA9" w:rsidRPr="008161CC" w:rsidRDefault="00F46EA9" w:rsidP="008161CC">
            <w:pPr>
              <w:ind w:left="113" w:right="113"/>
              <w:rPr>
                <w:lang w:val="nl-NL"/>
              </w:rPr>
            </w:pPr>
          </w:p>
        </w:tc>
        <w:tc>
          <w:tcPr>
            <w:tcW w:w="855" w:type="dxa"/>
            <w:vMerge/>
            <w:tcBorders>
              <w:left w:val="single" w:sz="4" w:space="0" w:color="auto"/>
            </w:tcBorders>
            <w:textDirection w:val="btLr"/>
            <w:vAlign w:val="center"/>
          </w:tcPr>
          <w:p w14:paraId="5B0BF9A0" w14:textId="77777777" w:rsidR="00F46EA9" w:rsidRPr="008161CC" w:rsidRDefault="00F46EA9" w:rsidP="008161CC">
            <w:pPr>
              <w:ind w:left="113" w:right="113"/>
              <w:rPr>
                <w:lang w:val="nl-NL"/>
              </w:rPr>
            </w:pPr>
          </w:p>
        </w:tc>
        <w:tc>
          <w:tcPr>
            <w:tcW w:w="2835" w:type="dxa"/>
            <w:tcBorders>
              <w:top w:val="single" w:sz="4" w:space="0" w:color="auto"/>
              <w:left w:val="single" w:sz="4" w:space="0" w:color="auto"/>
              <w:bottom w:val="single" w:sz="4" w:space="0" w:color="auto"/>
              <w:right w:val="single" w:sz="4" w:space="0" w:color="auto"/>
            </w:tcBorders>
            <w:shd w:val="clear" w:color="auto" w:fill="F7C7AC"/>
            <w:tcMar>
              <w:left w:w="108" w:type="dxa"/>
              <w:right w:w="108" w:type="dxa"/>
            </w:tcMar>
            <w:vAlign w:val="center"/>
          </w:tcPr>
          <w:p w14:paraId="64AD70C7" w14:textId="494FD975" w:rsidR="7DA89621" w:rsidRDefault="7DA89621" w:rsidP="7DA89621">
            <w:pPr>
              <w:spacing w:after="240"/>
              <w:rPr>
                <w:rFonts w:ascii="Lato" w:eastAsia="Lato" w:hAnsi="Lato" w:cs="Lato"/>
                <w:b/>
                <w:bCs/>
                <w:sz w:val="22"/>
              </w:rPr>
            </w:pPr>
            <w:r w:rsidRPr="7DA89621">
              <w:rPr>
                <w:rFonts w:ascii="Lato" w:eastAsia="Lato" w:hAnsi="Lato" w:cs="Lato"/>
                <w:b/>
                <w:bCs/>
                <w:sz w:val="22"/>
              </w:rPr>
              <w:t>% targeted children who transition (1) into formal from NFE, or (2) into the next level of NFE, or (3) into the next academic year of formal education</w:t>
            </w:r>
          </w:p>
        </w:tc>
        <w:tc>
          <w:tcPr>
            <w:tcW w:w="851" w:type="dxa"/>
            <w:tcBorders>
              <w:top w:val="single" w:sz="4" w:space="0" w:color="auto"/>
              <w:left w:val="single" w:sz="4" w:space="0" w:color="auto"/>
              <w:bottom w:val="single" w:sz="4" w:space="0" w:color="auto"/>
              <w:right w:val="single" w:sz="4" w:space="0" w:color="auto"/>
            </w:tcBorders>
            <w:shd w:val="clear" w:color="auto" w:fill="F7C7AC"/>
            <w:tcMar>
              <w:left w:w="108" w:type="dxa"/>
              <w:right w:w="108" w:type="dxa"/>
            </w:tcMar>
            <w:vAlign w:val="center"/>
          </w:tcPr>
          <w:p w14:paraId="7F46E81C" w14:textId="534FD872" w:rsidR="7DA89621" w:rsidRDefault="7DA89621" w:rsidP="7DA89621">
            <w:pPr>
              <w:rPr>
                <w:rFonts w:ascii="Lato" w:eastAsia="Lato" w:hAnsi="Lato" w:cs="Lato"/>
                <w:sz w:val="22"/>
              </w:rPr>
            </w:pPr>
            <w:r w:rsidRPr="7DA89621">
              <w:rPr>
                <w:rFonts w:ascii="Lato" w:eastAsia="Lato" w:hAnsi="Lato" w:cs="Lato"/>
                <w:sz w:val="22"/>
              </w:rPr>
              <w:t>0</w:t>
            </w:r>
          </w:p>
        </w:tc>
        <w:tc>
          <w:tcPr>
            <w:tcW w:w="1134" w:type="dxa"/>
            <w:tcBorders>
              <w:top w:val="single" w:sz="4" w:space="0" w:color="auto"/>
              <w:left w:val="single" w:sz="4" w:space="0" w:color="auto"/>
              <w:bottom w:val="single" w:sz="4" w:space="0" w:color="auto"/>
              <w:right w:val="single" w:sz="4" w:space="0" w:color="auto"/>
            </w:tcBorders>
            <w:shd w:val="clear" w:color="auto" w:fill="D6AC95"/>
            <w:tcMar>
              <w:left w:w="108" w:type="dxa"/>
              <w:right w:w="108" w:type="dxa"/>
            </w:tcMar>
            <w:vAlign w:val="center"/>
          </w:tcPr>
          <w:p w14:paraId="214CDB08" w14:textId="22DC8941" w:rsidR="7DA89621" w:rsidRDefault="7DA89621" w:rsidP="7DA89621">
            <w:pPr>
              <w:jc w:val="center"/>
              <w:rPr>
                <w:rFonts w:ascii="Lato" w:eastAsia="Lato" w:hAnsi="Lato" w:cs="Lato"/>
                <w:i/>
                <w:iCs/>
                <w:color w:val="000000" w:themeColor="text1"/>
                <w:sz w:val="22"/>
              </w:rPr>
            </w:pPr>
            <w:r w:rsidRPr="7DA89621">
              <w:rPr>
                <w:rFonts w:ascii="Lato" w:eastAsia="Lato" w:hAnsi="Lato" w:cs="Lato"/>
                <w:i/>
                <w:iCs/>
                <w:color w:val="000000" w:themeColor="text1"/>
                <w:sz w:val="22"/>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F7C7AC"/>
            <w:tcMar>
              <w:left w:w="108" w:type="dxa"/>
              <w:right w:w="108" w:type="dxa"/>
            </w:tcMar>
            <w:vAlign w:val="center"/>
          </w:tcPr>
          <w:p w14:paraId="1A9721EE" w14:textId="40297889" w:rsidR="7DA89621" w:rsidRDefault="7DA89621" w:rsidP="7DA89621">
            <w:pPr>
              <w:rPr>
                <w:rFonts w:ascii="Lato" w:eastAsia="Lato" w:hAnsi="Lato" w:cs="Lato"/>
                <w:sz w:val="22"/>
                <w:lang w:val="fr-FR"/>
              </w:rPr>
            </w:pPr>
            <w:r w:rsidRPr="7DA89621">
              <w:rPr>
                <w:rFonts w:ascii="Lato" w:eastAsia="Lato" w:hAnsi="Lato" w:cs="Lato"/>
                <w:sz w:val="22"/>
                <w:lang w:val="fr-FR"/>
              </w:rPr>
              <w:t>"Ecole Nouvelle Zoranje: 100%</w:t>
            </w:r>
            <w:r w:rsidRPr="008161CC">
              <w:rPr>
                <w:lang w:val="nl-NL"/>
              </w:rPr>
              <w:br/>
            </w:r>
            <w:r w:rsidRPr="7DA89621">
              <w:rPr>
                <w:rFonts w:ascii="Lato" w:eastAsia="Lato" w:hAnsi="Lato" w:cs="Lato"/>
                <w:sz w:val="22"/>
                <w:lang w:val="fr-FR"/>
              </w:rPr>
              <w:t>Ecole Nationale Zoranje: 100%"</w:t>
            </w:r>
          </w:p>
        </w:tc>
        <w:tc>
          <w:tcPr>
            <w:tcW w:w="1985" w:type="dxa"/>
            <w:tcBorders>
              <w:top w:val="single" w:sz="4" w:space="0" w:color="auto"/>
              <w:left w:val="single" w:sz="4" w:space="0" w:color="auto"/>
              <w:bottom w:val="single" w:sz="4" w:space="0" w:color="auto"/>
              <w:right w:val="single" w:sz="4" w:space="0" w:color="auto"/>
            </w:tcBorders>
            <w:shd w:val="clear" w:color="auto" w:fill="F7C7AC"/>
            <w:tcMar>
              <w:left w:w="108" w:type="dxa"/>
              <w:right w:w="108" w:type="dxa"/>
            </w:tcMar>
            <w:vAlign w:val="center"/>
          </w:tcPr>
          <w:p w14:paraId="2418B270" w14:textId="21005C16" w:rsidR="7DA89621" w:rsidRDefault="7DA89621" w:rsidP="7DA89621">
            <w:pPr>
              <w:rPr>
                <w:rFonts w:ascii="Lato" w:eastAsia="Lato" w:hAnsi="Lato" w:cs="Lato"/>
                <w:sz w:val="22"/>
                <w:lang w:val="fr"/>
              </w:rPr>
            </w:pPr>
            <w:r w:rsidRPr="7DA89621">
              <w:rPr>
                <w:rFonts w:ascii="Lato" w:eastAsia="Lato" w:hAnsi="Lato" w:cs="Lato"/>
                <w:sz w:val="22"/>
                <w:lang w:val="fr"/>
              </w:rPr>
              <w:t xml:space="preserve"> </w:t>
            </w:r>
          </w:p>
        </w:tc>
        <w:tc>
          <w:tcPr>
            <w:tcW w:w="1260" w:type="dxa"/>
            <w:tcBorders>
              <w:top w:val="single" w:sz="4" w:space="0" w:color="auto"/>
              <w:left w:val="single" w:sz="4" w:space="0" w:color="auto"/>
              <w:bottom w:val="single" w:sz="4" w:space="0" w:color="auto"/>
              <w:right w:val="single" w:sz="4" w:space="0" w:color="auto"/>
            </w:tcBorders>
            <w:shd w:val="clear" w:color="auto" w:fill="F7C7AC"/>
            <w:tcMar>
              <w:left w:w="108" w:type="dxa"/>
              <w:right w:w="108" w:type="dxa"/>
            </w:tcMar>
            <w:vAlign w:val="center"/>
          </w:tcPr>
          <w:p w14:paraId="594FA720" w14:textId="54B49A14" w:rsidR="7DA89621" w:rsidRDefault="7DA89621" w:rsidP="7DA89621">
            <w:pPr>
              <w:rPr>
                <w:rFonts w:ascii="Lato" w:eastAsia="Lato" w:hAnsi="Lato" w:cs="Lato"/>
                <w:sz w:val="22"/>
                <w:lang w:val="fr"/>
              </w:rPr>
            </w:pPr>
            <w:r w:rsidRPr="7DA89621">
              <w:rPr>
                <w:rFonts w:ascii="Lato" w:eastAsia="Lato" w:hAnsi="Lato" w:cs="Lato"/>
                <w:sz w:val="22"/>
                <w:lang w:val="fr"/>
              </w:rPr>
              <w:t xml:space="preserve"> </w:t>
            </w:r>
          </w:p>
        </w:tc>
      </w:tr>
      <w:tr w:rsidR="006F71C3" w14:paraId="50CEC91A" w14:textId="77777777" w:rsidTr="00776E21">
        <w:trPr>
          <w:trHeight w:val="300"/>
        </w:trPr>
        <w:tc>
          <w:tcPr>
            <w:tcW w:w="983" w:type="dxa"/>
            <w:vMerge/>
            <w:tcBorders>
              <w:left w:val="single" w:sz="4" w:space="0" w:color="auto"/>
              <w:bottom w:val="single" w:sz="4" w:space="0" w:color="auto"/>
            </w:tcBorders>
            <w:textDirection w:val="btLr"/>
            <w:vAlign w:val="center"/>
          </w:tcPr>
          <w:p w14:paraId="6883A783" w14:textId="77777777" w:rsidR="00F46EA9" w:rsidRPr="008161CC" w:rsidRDefault="00F46EA9" w:rsidP="008161CC">
            <w:pPr>
              <w:ind w:left="113" w:right="113"/>
              <w:rPr>
                <w:lang w:val="nl-NL"/>
              </w:rPr>
            </w:pPr>
          </w:p>
        </w:tc>
        <w:tc>
          <w:tcPr>
            <w:tcW w:w="855" w:type="dxa"/>
            <w:vMerge w:val="restart"/>
            <w:tcBorders>
              <w:top w:val="single" w:sz="4" w:space="0" w:color="auto"/>
              <w:left w:val="single" w:sz="4" w:space="0" w:color="auto"/>
              <w:bottom w:val="single" w:sz="4" w:space="0" w:color="auto"/>
              <w:right w:val="single" w:sz="4" w:space="0" w:color="auto"/>
            </w:tcBorders>
            <w:tcMar>
              <w:left w:w="108" w:type="dxa"/>
              <w:right w:w="108" w:type="dxa"/>
            </w:tcMar>
            <w:textDirection w:val="btLr"/>
            <w:vAlign w:val="center"/>
          </w:tcPr>
          <w:p w14:paraId="3E1B789E" w14:textId="2C698C6F" w:rsidR="7DA89621" w:rsidRDefault="7DA89621" w:rsidP="008161CC">
            <w:pPr>
              <w:ind w:left="113" w:right="113"/>
              <w:jc w:val="center"/>
              <w:rPr>
                <w:rFonts w:ascii="Lato" w:eastAsia="Lato" w:hAnsi="Lato" w:cs="Lato"/>
                <w:color w:val="000000" w:themeColor="text1"/>
                <w:sz w:val="22"/>
              </w:rPr>
            </w:pPr>
            <w:r w:rsidRPr="7DA89621">
              <w:rPr>
                <w:rFonts w:ascii="Lato" w:eastAsia="Lato" w:hAnsi="Lato" w:cs="Lato"/>
                <w:b/>
                <w:bCs/>
                <w:color w:val="000000" w:themeColor="text1"/>
                <w:sz w:val="22"/>
              </w:rPr>
              <w:t>Output(s)</w:t>
            </w:r>
          </w:p>
          <w:p w14:paraId="4E098530" w14:textId="6F9112F9" w:rsidR="7DA89621" w:rsidRDefault="7DA89621" w:rsidP="008161CC">
            <w:pPr>
              <w:ind w:left="113" w:right="113"/>
              <w:rPr>
                <w:rFonts w:ascii="Lato" w:eastAsia="Lato" w:hAnsi="Lato" w:cs="Lato"/>
                <w:b/>
                <w:bCs/>
                <w:color w:val="000000" w:themeColor="text1"/>
                <w:sz w:val="22"/>
              </w:rPr>
            </w:pPr>
            <w:r w:rsidRPr="7DA89621">
              <w:rPr>
                <w:rFonts w:ascii="Lato" w:eastAsia="Lato" w:hAnsi="Lato" w:cs="Lato"/>
                <w:b/>
                <w:bCs/>
                <w:color w:val="000000" w:themeColor="text1"/>
                <w:sz w:val="22"/>
              </w:rPr>
              <w:t xml:space="preserve"> </w:t>
            </w:r>
          </w:p>
          <w:p w14:paraId="7E683112" w14:textId="1E4606BE" w:rsidR="7DA89621" w:rsidRDefault="7DA89621" w:rsidP="008161CC">
            <w:pPr>
              <w:ind w:left="113" w:right="113"/>
              <w:rPr>
                <w:rFonts w:ascii="Lato" w:eastAsia="Lato" w:hAnsi="Lato" w:cs="Lato"/>
                <w:b/>
                <w:bCs/>
                <w:color w:val="000000" w:themeColor="text1"/>
                <w:sz w:val="22"/>
              </w:rPr>
            </w:pPr>
            <w:r w:rsidRPr="7DA89621">
              <w:rPr>
                <w:rFonts w:ascii="Lato" w:eastAsia="Lato" w:hAnsi="Lato" w:cs="Lato"/>
                <w:b/>
                <w:bCs/>
                <w:color w:val="000000" w:themeColor="text1"/>
                <w:sz w:val="22"/>
              </w:rPr>
              <w:t xml:space="preserve"> </w:t>
            </w:r>
          </w:p>
        </w:tc>
        <w:tc>
          <w:tcPr>
            <w:tcW w:w="2835" w:type="dxa"/>
            <w:tcBorders>
              <w:top w:val="single" w:sz="4" w:space="0" w:color="auto"/>
              <w:left w:val="single" w:sz="4" w:space="0" w:color="auto"/>
              <w:bottom w:val="single" w:sz="4" w:space="0" w:color="auto"/>
              <w:right w:val="single" w:sz="4" w:space="0" w:color="auto"/>
            </w:tcBorders>
            <w:shd w:val="clear" w:color="auto" w:fill="FBE2D5"/>
            <w:tcMar>
              <w:left w:w="108" w:type="dxa"/>
              <w:right w:w="108" w:type="dxa"/>
            </w:tcMar>
            <w:vAlign w:val="center"/>
          </w:tcPr>
          <w:p w14:paraId="25FCCF6E" w14:textId="3BEEEABC" w:rsidR="7DA89621" w:rsidRDefault="7DA89621" w:rsidP="7DA89621">
            <w:pPr>
              <w:rPr>
                <w:rFonts w:ascii="Lato" w:eastAsia="Lato" w:hAnsi="Lato" w:cs="Lato"/>
                <w:sz w:val="22"/>
              </w:rPr>
            </w:pPr>
            <w:r w:rsidRPr="7DA89621">
              <w:rPr>
                <w:rFonts w:ascii="Lato" w:eastAsia="Lato" w:hAnsi="Lato" w:cs="Lato"/>
                <w:sz w:val="22"/>
              </w:rPr>
              <w:t>Number of boys and girls that access safe, quality learning opportunities (non-formal education)</w:t>
            </w:r>
          </w:p>
        </w:tc>
        <w:tc>
          <w:tcPr>
            <w:tcW w:w="851" w:type="dxa"/>
            <w:tcBorders>
              <w:top w:val="single" w:sz="4" w:space="0" w:color="auto"/>
              <w:left w:val="single" w:sz="4" w:space="0" w:color="auto"/>
              <w:bottom w:val="single" w:sz="4" w:space="0" w:color="auto"/>
              <w:right w:val="single" w:sz="4" w:space="0" w:color="auto"/>
            </w:tcBorders>
            <w:shd w:val="clear" w:color="auto" w:fill="D9C4B8"/>
            <w:tcMar>
              <w:left w:w="108" w:type="dxa"/>
              <w:right w:w="108" w:type="dxa"/>
            </w:tcMar>
            <w:vAlign w:val="center"/>
          </w:tcPr>
          <w:p w14:paraId="665BD6E1" w14:textId="6625267A" w:rsidR="7DA89621" w:rsidRDefault="7DA89621" w:rsidP="7DA89621">
            <w:pPr>
              <w:jc w:val="center"/>
              <w:rPr>
                <w:rFonts w:ascii="Lato" w:eastAsia="Lato" w:hAnsi="Lato" w:cs="Lato"/>
                <w:i/>
                <w:iCs/>
                <w:color w:val="000000" w:themeColor="text1"/>
                <w:sz w:val="22"/>
              </w:rPr>
            </w:pPr>
            <w:r w:rsidRPr="7DA89621">
              <w:rPr>
                <w:rFonts w:ascii="Lato" w:eastAsia="Lato" w:hAnsi="Lato" w:cs="Lato"/>
                <w:i/>
                <w:iCs/>
                <w:color w:val="000000" w:themeColor="text1"/>
                <w:sz w:val="22"/>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BE2D5"/>
            <w:tcMar>
              <w:left w:w="108" w:type="dxa"/>
              <w:right w:w="108" w:type="dxa"/>
            </w:tcMar>
            <w:vAlign w:val="center"/>
          </w:tcPr>
          <w:p w14:paraId="7B5E6A68" w14:textId="09C5646A" w:rsidR="7DA89621" w:rsidRDefault="7DA89621" w:rsidP="7DA89621">
            <w:pPr>
              <w:rPr>
                <w:rFonts w:ascii="Lato" w:eastAsia="Lato" w:hAnsi="Lato" w:cs="Lato"/>
                <w:sz w:val="22"/>
              </w:rPr>
            </w:pPr>
            <w:r w:rsidRPr="7DA89621">
              <w:rPr>
                <w:rFonts w:ascii="Lato" w:eastAsia="Lato" w:hAnsi="Lato" w:cs="Lato"/>
                <w:sz w:val="22"/>
              </w:rPr>
              <w:t>540</w:t>
            </w:r>
          </w:p>
        </w:tc>
        <w:tc>
          <w:tcPr>
            <w:tcW w:w="1842" w:type="dxa"/>
            <w:tcBorders>
              <w:top w:val="single" w:sz="4" w:space="0" w:color="auto"/>
              <w:left w:val="single" w:sz="4" w:space="0" w:color="auto"/>
              <w:bottom w:val="single" w:sz="4" w:space="0" w:color="auto"/>
              <w:right w:val="single" w:sz="4" w:space="0" w:color="auto"/>
            </w:tcBorders>
            <w:shd w:val="clear" w:color="auto" w:fill="FBE2D5"/>
            <w:tcMar>
              <w:left w:w="108" w:type="dxa"/>
              <w:right w:w="108" w:type="dxa"/>
            </w:tcMar>
            <w:vAlign w:val="center"/>
          </w:tcPr>
          <w:p w14:paraId="0B872FFC" w14:textId="595318FE" w:rsidR="7DA89621" w:rsidRDefault="7DA89621" w:rsidP="7DA89621">
            <w:pPr>
              <w:rPr>
                <w:rFonts w:ascii="Lato" w:eastAsia="Lato" w:hAnsi="Lato" w:cs="Lato"/>
                <w:sz w:val="22"/>
              </w:rPr>
            </w:pPr>
            <w:r w:rsidRPr="7DA89621">
              <w:rPr>
                <w:rFonts w:ascii="Lato" w:eastAsia="Lato" w:hAnsi="Lato" w:cs="Lato"/>
                <w:sz w:val="22"/>
              </w:rPr>
              <w:t>540</w:t>
            </w:r>
          </w:p>
        </w:tc>
        <w:tc>
          <w:tcPr>
            <w:tcW w:w="1985" w:type="dxa"/>
            <w:tcBorders>
              <w:top w:val="single" w:sz="4" w:space="0" w:color="auto"/>
              <w:left w:val="single" w:sz="4" w:space="0" w:color="auto"/>
              <w:bottom w:val="single" w:sz="4" w:space="0" w:color="auto"/>
              <w:right w:val="single" w:sz="4" w:space="0" w:color="auto"/>
            </w:tcBorders>
            <w:shd w:val="clear" w:color="auto" w:fill="FBE2D5"/>
            <w:tcMar>
              <w:left w:w="108" w:type="dxa"/>
              <w:right w:w="108" w:type="dxa"/>
            </w:tcMar>
            <w:vAlign w:val="center"/>
          </w:tcPr>
          <w:p w14:paraId="47CF9BB6" w14:textId="586931C5" w:rsidR="7DA89621" w:rsidRDefault="7DA89621" w:rsidP="7DA89621">
            <w:pPr>
              <w:rPr>
                <w:rFonts w:ascii="Lato" w:eastAsia="Lato" w:hAnsi="Lato" w:cs="Lato"/>
                <w:sz w:val="22"/>
              </w:rPr>
            </w:pPr>
            <w:r w:rsidRPr="7DA89621">
              <w:rPr>
                <w:rFonts w:ascii="Lato" w:eastAsia="Lato" w:hAnsi="Lato" w:cs="Lato"/>
                <w:sz w:val="22"/>
              </w:rPr>
              <w:t xml:space="preserve"> </w:t>
            </w:r>
            <w:r w:rsidR="003568EF">
              <w:rPr>
                <w:rFonts w:ascii="Lato" w:eastAsia="Lato" w:hAnsi="Lato" w:cs="Lato"/>
                <w:sz w:val="22"/>
              </w:rPr>
              <w:t>N/A</w:t>
            </w:r>
          </w:p>
        </w:tc>
        <w:tc>
          <w:tcPr>
            <w:tcW w:w="1260" w:type="dxa"/>
            <w:tcBorders>
              <w:top w:val="single" w:sz="4" w:space="0" w:color="auto"/>
              <w:left w:val="single" w:sz="4" w:space="0" w:color="auto"/>
              <w:bottom w:val="single" w:sz="4" w:space="0" w:color="auto"/>
              <w:right w:val="single" w:sz="4" w:space="0" w:color="auto"/>
            </w:tcBorders>
            <w:shd w:val="clear" w:color="auto" w:fill="FBE2D5"/>
            <w:tcMar>
              <w:left w:w="108" w:type="dxa"/>
              <w:right w:w="108" w:type="dxa"/>
            </w:tcMar>
            <w:vAlign w:val="center"/>
          </w:tcPr>
          <w:p w14:paraId="79740DDD" w14:textId="411BD108" w:rsidR="7DA89621" w:rsidRDefault="7DA89621" w:rsidP="7DA89621">
            <w:pPr>
              <w:rPr>
                <w:rFonts w:ascii="Lato" w:eastAsia="Lato" w:hAnsi="Lato" w:cs="Lato"/>
                <w:sz w:val="22"/>
              </w:rPr>
            </w:pPr>
            <w:r w:rsidRPr="7DA89621">
              <w:rPr>
                <w:rFonts w:ascii="Lato" w:eastAsia="Lato" w:hAnsi="Lato" w:cs="Lato"/>
                <w:sz w:val="22"/>
              </w:rPr>
              <w:t xml:space="preserve"> </w:t>
            </w:r>
          </w:p>
        </w:tc>
      </w:tr>
      <w:tr w:rsidR="006F71C3" w14:paraId="1C22975A" w14:textId="77777777" w:rsidTr="00776E21">
        <w:trPr>
          <w:trHeight w:val="300"/>
        </w:trPr>
        <w:tc>
          <w:tcPr>
            <w:tcW w:w="983" w:type="dxa"/>
            <w:vMerge/>
            <w:tcBorders>
              <w:left w:val="single" w:sz="4" w:space="0" w:color="auto"/>
              <w:bottom w:val="single" w:sz="4" w:space="0" w:color="auto"/>
              <w:right w:val="single" w:sz="4" w:space="0" w:color="auto"/>
            </w:tcBorders>
            <w:textDirection w:val="btLr"/>
            <w:vAlign w:val="center"/>
          </w:tcPr>
          <w:p w14:paraId="6696A67E" w14:textId="77777777" w:rsidR="00F46EA9" w:rsidRDefault="00F46EA9" w:rsidP="008161CC">
            <w:pPr>
              <w:ind w:left="113" w:right="113"/>
            </w:pPr>
          </w:p>
        </w:tc>
        <w:tc>
          <w:tcPr>
            <w:tcW w:w="855" w:type="dxa"/>
            <w:vMerge/>
            <w:tcBorders>
              <w:left w:val="single" w:sz="4" w:space="0" w:color="auto"/>
            </w:tcBorders>
            <w:textDirection w:val="btLr"/>
            <w:vAlign w:val="center"/>
          </w:tcPr>
          <w:p w14:paraId="30643F0F" w14:textId="77777777" w:rsidR="00F46EA9" w:rsidRDefault="00F46EA9" w:rsidP="008161CC">
            <w:pPr>
              <w:ind w:left="113" w:right="113"/>
            </w:pPr>
          </w:p>
        </w:tc>
        <w:tc>
          <w:tcPr>
            <w:tcW w:w="2835" w:type="dxa"/>
            <w:tcBorders>
              <w:top w:val="single" w:sz="4" w:space="0" w:color="auto"/>
              <w:left w:val="single" w:sz="4" w:space="0" w:color="auto"/>
              <w:bottom w:val="single" w:sz="4" w:space="0" w:color="auto"/>
              <w:right w:val="single" w:sz="4" w:space="0" w:color="auto"/>
            </w:tcBorders>
            <w:shd w:val="clear" w:color="auto" w:fill="FBE2D5"/>
            <w:tcMar>
              <w:left w:w="108" w:type="dxa"/>
              <w:right w:w="108" w:type="dxa"/>
            </w:tcMar>
            <w:vAlign w:val="center"/>
          </w:tcPr>
          <w:p w14:paraId="0CFF0610" w14:textId="7925AF6F" w:rsidR="7DA89621" w:rsidRDefault="7DA89621" w:rsidP="7DA89621">
            <w:pPr>
              <w:rPr>
                <w:rFonts w:ascii="Lato" w:eastAsia="Lato" w:hAnsi="Lato" w:cs="Lato"/>
                <w:sz w:val="22"/>
              </w:rPr>
            </w:pPr>
            <w:r w:rsidRPr="7DA89621">
              <w:rPr>
                <w:rFonts w:ascii="Lato" w:eastAsia="Lato" w:hAnsi="Lato" w:cs="Lato"/>
                <w:sz w:val="22"/>
              </w:rPr>
              <w:t>Number of learning spaces/schools set up or rehabilitated and equipped to meet standards</w:t>
            </w:r>
          </w:p>
        </w:tc>
        <w:tc>
          <w:tcPr>
            <w:tcW w:w="851" w:type="dxa"/>
            <w:tcBorders>
              <w:top w:val="single" w:sz="4" w:space="0" w:color="auto"/>
              <w:left w:val="single" w:sz="4" w:space="0" w:color="auto"/>
              <w:bottom w:val="single" w:sz="4" w:space="0" w:color="auto"/>
              <w:right w:val="single" w:sz="4" w:space="0" w:color="auto"/>
            </w:tcBorders>
            <w:shd w:val="clear" w:color="auto" w:fill="D9C4B8"/>
            <w:tcMar>
              <w:left w:w="108" w:type="dxa"/>
              <w:right w:w="108" w:type="dxa"/>
            </w:tcMar>
            <w:vAlign w:val="center"/>
          </w:tcPr>
          <w:p w14:paraId="66845016" w14:textId="477CB283" w:rsidR="7DA89621" w:rsidRDefault="7DA89621" w:rsidP="7DA89621">
            <w:pPr>
              <w:jc w:val="center"/>
              <w:rPr>
                <w:rFonts w:ascii="Lato" w:eastAsia="Lato" w:hAnsi="Lato" w:cs="Lato"/>
                <w:i/>
                <w:iCs/>
                <w:color w:val="000000" w:themeColor="text1"/>
                <w:sz w:val="22"/>
              </w:rPr>
            </w:pPr>
            <w:r w:rsidRPr="7DA89621">
              <w:rPr>
                <w:rFonts w:ascii="Lato" w:eastAsia="Lato" w:hAnsi="Lato" w:cs="Lato"/>
                <w:i/>
                <w:iCs/>
                <w:color w:val="000000" w:themeColor="text1"/>
                <w:sz w:val="22"/>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BE2D5"/>
            <w:tcMar>
              <w:left w:w="108" w:type="dxa"/>
              <w:right w:w="108" w:type="dxa"/>
            </w:tcMar>
            <w:vAlign w:val="center"/>
          </w:tcPr>
          <w:p w14:paraId="47937F48" w14:textId="399AF9FE" w:rsidR="7DA89621" w:rsidRDefault="7DA89621" w:rsidP="7DA89621">
            <w:pPr>
              <w:rPr>
                <w:rFonts w:ascii="Lato" w:eastAsia="Lato" w:hAnsi="Lato" w:cs="Lato"/>
                <w:sz w:val="22"/>
              </w:rPr>
            </w:pPr>
            <w:r w:rsidRPr="7DA89621">
              <w:rPr>
                <w:rFonts w:ascii="Lato" w:eastAsia="Lato" w:hAnsi="Lato" w:cs="Lato"/>
                <w:sz w:val="22"/>
              </w:rPr>
              <w:t>18</w:t>
            </w:r>
          </w:p>
        </w:tc>
        <w:tc>
          <w:tcPr>
            <w:tcW w:w="1842" w:type="dxa"/>
            <w:tcBorders>
              <w:top w:val="single" w:sz="4" w:space="0" w:color="auto"/>
              <w:left w:val="single" w:sz="4" w:space="0" w:color="auto"/>
              <w:bottom w:val="single" w:sz="4" w:space="0" w:color="auto"/>
              <w:right w:val="single" w:sz="4" w:space="0" w:color="auto"/>
            </w:tcBorders>
            <w:shd w:val="clear" w:color="auto" w:fill="FBE2D5"/>
            <w:tcMar>
              <w:left w:w="108" w:type="dxa"/>
              <w:right w:w="108" w:type="dxa"/>
            </w:tcMar>
            <w:vAlign w:val="center"/>
          </w:tcPr>
          <w:p w14:paraId="6CC6FEB3" w14:textId="40596674" w:rsidR="7DA89621" w:rsidRDefault="7DA89621" w:rsidP="7DA89621">
            <w:pPr>
              <w:rPr>
                <w:rFonts w:ascii="Lato" w:eastAsia="Lato" w:hAnsi="Lato" w:cs="Lato"/>
                <w:sz w:val="22"/>
              </w:rPr>
            </w:pPr>
            <w:r w:rsidRPr="7DA89621">
              <w:rPr>
                <w:rFonts w:ascii="Lato" w:eastAsia="Lato" w:hAnsi="Lato" w:cs="Lato"/>
                <w:sz w:val="22"/>
              </w:rPr>
              <w:t>18</w:t>
            </w:r>
          </w:p>
        </w:tc>
        <w:tc>
          <w:tcPr>
            <w:tcW w:w="1985" w:type="dxa"/>
            <w:tcBorders>
              <w:top w:val="single" w:sz="4" w:space="0" w:color="auto"/>
              <w:left w:val="single" w:sz="4" w:space="0" w:color="auto"/>
              <w:bottom w:val="single" w:sz="4" w:space="0" w:color="auto"/>
              <w:right w:val="single" w:sz="4" w:space="0" w:color="auto"/>
            </w:tcBorders>
            <w:shd w:val="clear" w:color="auto" w:fill="FBE2D5"/>
            <w:tcMar>
              <w:left w:w="108" w:type="dxa"/>
              <w:right w:w="108" w:type="dxa"/>
            </w:tcMar>
            <w:vAlign w:val="center"/>
          </w:tcPr>
          <w:p w14:paraId="52D27798" w14:textId="2747FD78" w:rsidR="7DA89621" w:rsidRDefault="7DA89621" w:rsidP="7DA89621">
            <w:pPr>
              <w:rPr>
                <w:rFonts w:ascii="Lato" w:eastAsia="Lato" w:hAnsi="Lato" w:cs="Lato"/>
                <w:sz w:val="22"/>
              </w:rPr>
            </w:pPr>
            <w:r w:rsidRPr="7DA89621">
              <w:rPr>
                <w:rFonts w:ascii="Lato" w:eastAsia="Lato" w:hAnsi="Lato" w:cs="Lato"/>
                <w:sz w:val="22"/>
              </w:rPr>
              <w:t xml:space="preserve"> </w:t>
            </w:r>
            <w:r w:rsidR="003568EF">
              <w:rPr>
                <w:rFonts w:ascii="Lato" w:eastAsia="Lato" w:hAnsi="Lato" w:cs="Lato"/>
                <w:sz w:val="22"/>
              </w:rPr>
              <w:t>N/A</w:t>
            </w:r>
          </w:p>
        </w:tc>
        <w:tc>
          <w:tcPr>
            <w:tcW w:w="1260" w:type="dxa"/>
            <w:tcBorders>
              <w:top w:val="single" w:sz="4" w:space="0" w:color="auto"/>
              <w:left w:val="single" w:sz="4" w:space="0" w:color="auto"/>
              <w:bottom w:val="single" w:sz="4" w:space="0" w:color="auto"/>
              <w:right w:val="single" w:sz="4" w:space="0" w:color="auto"/>
            </w:tcBorders>
            <w:shd w:val="clear" w:color="auto" w:fill="FBE2D5"/>
            <w:tcMar>
              <w:left w:w="108" w:type="dxa"/>
              <w:right w:w="108" w:type="dxa"/>
            </w:tcMar>
            <w:vAlign w:val="center"/>
          </w:tcPr>
          <w:p w14:paraId="7AAD50C7" w14:textId="17A22B57" w:rsidR="7DA89621" w:rsidRDefault="7DA89621" w:rsidP="7DA89621">
            <w:pPr>
              <w:rPr>
                <w:rFonts w:ascii="Lato" w:eastAsia="Lato" w:hAnsi="Lato" w:cs="Lato"/>
                <w:sz w:val="22"/>
              </w:rPr>
            </w:pPr>
            <w:r w:rsidRPr="7DA89621">
              <w:rPr>
                <w:rFonts w:ascii="Lato" w:eastAsia="Lato" w:hAnsi="Lato" w:cs="Lato"/>
                <w:sz w:val="22"/>
              </w:rPr>
              <w:t xml:space="preserve"> </w:t>
            </w:r>
          </w:p>
        </w:tc>
      </w:tr>
      <w:tr w:rsidR="006F71C3" w14:paraId="269429D5" w14:textId="77777777" w:rsidTr="00776E21">
        <w:trPr>
          <w:trHeight w:val="300"/>
        </w:trPr>
        <w:tc>
          <w:tcPr>
            <w:tcW w:w="983" w:type="dxa"/>
            <w:vMerge/>
            <w:tcBorders>
              <w:left w:val="single" w:sz="4" w:space="0" w:color="auto"/>
              <w:bottom w:val="single" w:sz="4" w:space="0" w:color="auto"/>
              <w:right w:val="single" w:sz="4" w:space="0" w:color="auto"/>
            </w:tcBorders>
            <w:textDirection w:val="btLr"/>
            <w:vAlign w:val="center"/>
          </w:tcPr>
          <w:p w14:paraId="19D0E1B1" w14:textId="77777777" w:rsidR="00F46EA9" w:rsidRDefault="00F46EA9" w:rsidP="008161CC">
            <w:pPr>
              <w:ind w:left="113" w:right="113"/>
            </w:pPr>
          </w:p>
        </w:tc>
        <w:tc>
          <w:tcPr>
            <w:tcW w:w="855" w:type="dxa"/>
            <w:vMerge/>
            <w:tcBorders>
              <w:left w:val="single" w:sz="4" w:space="0" w:color="auto"/>
            </w:tcBorders>
            <w:textDirection w:val="btLr"/>
            <w:vAlign w:val="center"/>
          </w:tcPr>
          <w:p w14:paraId="2DED6AA3" w14:textId="77777777" w:rsidR="00F46EA9" w:rsidRDefault="00F46EA9" w:rsidP="008161CC">
            <w:pPr>
              <w:ind w:left="113" w:right="113"/>
            </w:pPr>
          </w:p>
        </w:tc>
        <w:tc>
          <w:tcPr>
            <w:tcW w:w="2835" w:type="dxa"/>
            <w:tcBorders>
              <w:top w:val="single" w:sz="4" w:space="0" w:color="auto"/>
              <w:left w:val="single" w:sz="4" w:space="0" w:color="auto"/>
              <w:bottom w:val="single" w:sz="4" w:space="0" w:color="auto"/>
              <w:right w:val="single" w:sz="4" w:space="0" w:color="auto"/>
            </w:tcBorders>
            <w:shd w:val="clear" w:color="auto" w:fill="FBE2D5"/>
            <w:tcMar>
              <w:left w:w="108" w:type="dxa"/>
              <w:right w:w="108" w:type="dxa"/>
            </w:tcMar>
            <w:vAlign w:val="center"/>
          </w:tcPr>
          <w:p w14:paraId="00968614" w14:textId="38FEBCD9" w:rsidR="7DA89621" w:rsidRDefault="7DA89621" w:rsidP="7DA89621">
            <w:pPr>
              <w:rPr>
                <w:rFonts w:ascii="Lato" w:eastAsia="Lato" w:hAnsi="Lato" w:cs="Lato"/>
                <w:sz w:val="22"/>
              </w:rPr>
            </w:pPr>
            <w:r w:rsidRPr="7DA89621">
              <w:rPr>
                <w:rFonts w:ascii="Lato" w:eastAsia="Lato" w:hAnsi="Lato" w:cs="Lato"/>
                <w:sz w:val="22"/>
              </w:rPr>
              <w:t>Number of teachers and other education personnel trained</w:t>
            </w:r>
          </w:p>
        </w:tc>
        <w:tc>
          <w:tcPr>
            <w:tcW w:w="851" w:type="dxa"/>
            <w:tcBorders>
              <w:top w:val="single" w:sz="4" w:space="0" w:color="auto"/>
              <w:left w:val="single" w:sz="4" w:space="0" w:color="auto"/>
              <w:bottom w:val="single" w:sz="4" w:space="0" w:color="auto"/>
              <w:right w:val="single" w:sz="4" w:space="0" w:color="auto"/>
            </w:tcBorders>
            <w:shd w:val="clear" w:color="auto" w:fill="D9C4B8"/>
            <w:tcMar>
              <w:left w:w="108" w:type="dxa"/>
              <w:right w:w="108" w:type="dxa"/>
            </w:tcMar>
            <w:vAlign w:val="center"/>
          </w:tcPr>
          <w:p w14:paraId="4D652CC6" w14:textId="28C24D9B" w:rsidR="7DA89621" w:rsidRDefault="7DA89621" w:rsidP="7DA89621">
            <w:pPr>
              <w:jc w:val="center"/>
              <w:rPr>
                <w:rFonts w:ascii="Lato" w:eastAsia="Lato" w:hAnsi="Lato" w:cs="Lato"/>
                <w:i/>
                <w:iCs/>
                <w:color w:val="000000" w:themeColor="text1"/>
                <w:sz w:val="22"/>
              </w:rPr>
            </w:pPr>
            <w:r w:rsidRPr="7DA89621">
              <w:rPr>
                <w:rFonts w:ascii="Lato" w:eastAsia="Lato" w:hAnsi="Lato" w:cs="Lato"/>
                <w:i/>
                <w:iCs/>
                <w:color w:val="000000" w:themeColor="text1"/>
                <w:sz w:val="22"/>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BE2D5"/>
            <w:tcMar>
              <w:left w:w="108" w:type="dxa"/>
              <w:right w:w="108" w:type="dxa"/>
            </w:tcMar>
            <w:vAlign w:val="center"/>
          </w:tcPr>
          <w:p w14:paraId="42BA97A5" w14:textId="628C57E0" w:rsidR="7DA89621" w:rsidRDefault="7DA89621" w:rsidP="7DA89621">
            <w:pPr>
              <w:rPr>
                <w:rFonts w:ascii="Lato" w:eastAsia="Lato" w:hAnsi="Lato" w:cs="Lato"/>
                <w:sz w:val="22"/>
              </w:rPr>
            </w:pPr>
            <w:r w:rsidRPr="7DA89621">
              <w:rPr>
                <w:rFonts w:ascii="Lato" w:eastAsia="Lato" w:hAnsi="Lato" w:cs="Lato"/>
                <w:sz w:val="22"/>
              </w:rPr>
              <w:t>30</w:t>
            </w:r>
          </w:p>
        </w:tc>
        <w:tc>
          <w:tcPr>
            <w:tcW w:w="1842" w:type="dxa"/>
            <w:tcBorders>
              <w:top w:val="single" w:sz="4" w:space="0" w:color="auto"/>
              <w:left w:val="single" w:sz="4" w:space="0" w:color="auto"/>
              <w:bottom w:val="single" w:sz="4" w:space="0" w:color="auto"/>
              <w:right w:val="single" w:sz="4" w:space="0" w:color="auto"/>
            </w:tcBorders>
            <w:shd w:val="clear" w:color="auto" w:fill="FBE2D5"/>
            <w:tcMar>
              <w:left w:w="108" w:type="dxa"/>
              <w:right w:w="108" w:type="dxa"/>
            </w:tcMar>
            <w:vAlign w:val="center"/>
          </w:tcPr>
          <w:p w14:paraId="738501CE" w14:textId="5CD7CFEB" w:rsidR="7DA89621" w:rsidRDefault="7DA89621" w:rsidP="7DA89621">
            <w:pPr>
              <w:rPr>
                <w:rFonts w:ascii="Lato" w:eastAsia="Lato" w:hAnsi="Lato" w:cs="Lato"/>
                <w:sz w:val="22"/>
              </w:rPr>
            </w:pPr>
            <w:r w:rsidRPr="7DA89621">
              <w:rPr>
                <w:rFonts w:ascii="Lato" w:eastAsia="Lato" w:hAnsi="Lato" w:cs="Lato"/>
                <w:sz w:val="22"/>
              </w:rPr>
              <w:t>30</w:t>
            </w:r>
          </w:p>
        </w:tc>
        <w:tc>
          <w:tcPr>
            <w:tcW w:w="1985" w:type="dxa"/>
            <w:tcBorders>
              <w:top w:val="single" w:sz="4" w:space="0" w:color="auto"/>
              <w:left w:val="single" w:sz="4" w:space="0" w:color="auto"/>
              <w:bottom w:val="single" w:sz="4" w:space="0" w:color="auto"/>
              <w:right w:val="single" w:sz="4" w:space="0" w:color="auto"/>
            </w:tcBorders>
            <w:shd w:val="clear" w:color="auto" w:fill="FBE2D5"/>
            <w:tcMar>
              <w:left w:w="108" w:type="dxa"/>
              <w:right w:w="108" w:type="dxa"/>
            </w:tcMar>
            <w:vAlign w:val="center"/>
          </w:tcPr>
          <w:p w14:paraId="0271A904" w14:textId="66873188" w:rsidR="7DA89621" w:rsidRDefault="7DA89621" w:rsidP="7DA89621">
            <w:pPr>
              <w:rPr>
                <w:rFonts w:ascii="Lato" w:eastAsia="Lato" w:hAnsi="Lato" w:cs="Lato"/>
                <w:sz w:val="22"/>
              </w:rPr>
            </w:pPr>
            <w:r w:rsidRPr="7DA89621">
              <w:rPr>
                <w:rFonts w:ascii="Lato" w:eastAsia="Lato" w:hAnsi="Lato" w:cs="Lato"/>
                <w:sz w:val="22"/>
              </w:rPr>
              <w:t xml:space="preserve"> </w:t>
            </w:r>
            <w:r w:rsidR="003568EF">
              <w:rPr>
                <w:rFonts w:ascii="Lato" w:eastAsia="Lato" w:hAnsi="Lato" w:cs="Lato"/>
                <w:sz w:val="22"/>
              </w:rPr>
              <w:t>N/A</w:t>
            </w:r>
          </w:p>
        </w:tc>
        <w:tc>
          <w:tcPr>
            <w:tcW w:w="1260" w:type="dxa"/>
            <w:tcBorders>
              <w:top w:val="single" w:sz="4" w:space="0" w:color="auto"/>
              <w:left w:val="single" w:sz="4" w:space="0" w:color="auto"/>
              <w:bottom w:val="single" w:sz="4" w:space="0" w:color="auto"/>
              <w:right w:val="single" w:sz="4" w:space="0" w:color="auto"/>
            </w:tcBorders>
            <w:shd w:val="clear" w:color="auto" w:fill="FBE2D5"/>
            <w:tcMar>
              <w:left w:w="108" w:type="dxa"/>
              <w:right w:w="108" w:type="dxa"/>
            </w:tcMar>
            <w:vAlign w:val="center"/>
          </w:tcPr>
          <w:p w14:paraId="79866F43" w14:textId="0D342111" w:rsidR="7DA89621" w:rsidRDefault="7DA89621" w:rsidP="7DA89621">
            <w:pPr>
              <w:rPr>
                <w:rFonts w:ascii="Lato" w:eastAsia="Lato" w:hAnsi="Lato" w:cs="Lato"/>
                <w:sz w:val="22"/>
              </w:rPr>
            </w:pPr>
            <w:r w:rsidRPr="7DA89621">
              <w:rPr>
                <w:rFonts w:ascii="Lato" w:eastAsia="Lato" w:hAnsi="Lato" w:cs="Lato"/>
                <w:sz w:val="22"/>
              </w:rPr>
              <w:t xml:space="preserve"> </w:t>
            </w:r>
          </w:p>
        </w:tc>
      </w:tr>
      <w:tr w:rsidR="00927904" w:rsidRPr="00787CD8" w14:paraId="1CE7474D" w14:textId="77777777" w:rsidTr="00776E21">
        <w:trPr>
          <w:trHeight w:val="300"/>
        </w:trPr>
        <w:tc>
          <w:tcPr>
            <w:tcW w:w="983" w:type="dxa"/>
            <w:vMerge w:val="restart"/>
            <w:tcBorders>
              <w:top w:val="single" w:sz="4" w:space="0" w:color="auto"/>
              <w:left w:val="single" w:sz="4" w:space="0" w:color="auto"/>
              <w:bottom w:val="single" w:sz="4" w:space="0" w:color="auto"/>
              <w:right w:val="single" w:sz="4" w:space="0" w:color="auto"/>
            </w:tcBorders>
            <w:shd w:val="clear" w:color="auto" w:fill="94DCF8"/>
            <w:tcMar>
              <w:left w:w="108" w:type="dxa"/>
              <w:right w:w="108" w:type="dxa"/>
            </w:tcMar>
            <w:textDirection w:val="btLr"/>
            <w:vAlign w:val="center"/>
          </w:tcPr>
          <w:p w14:paraId="5FC66F95" w14:textId="39952F4B" w:rsidR="7DA89621" w:rsidRDefault="003568EF" w:rsidP="008566D6">
            <w:pPr>
              <w:ind w:left="113" w:right="113"/>
              <w:jc w:val="center"/>
              <w:rPr>
                <w:rFonts w:ascii="Lato" w:eastAsia="Lato" w:hAnsi="Lato" w:cs="Lato"/>
                <w:b/>
                <w:bCs/>
                <w:color w:val="000000" w:themeColor="text1"/>
                <w:sz w:val="22"/>
              </w:rPr>
            </w:pPr>
            <w:r>
              <w:rPr>
                <w:rFonts w:ascii="Lato" w:eastAsia="Lato" w:hAnsi="Lato" w:cs="Lato"/>
                <w:b/>
                <w:bCs/>
                <w:color w:val="000000" w:themeColor="text1"/>
                <w:sz w:val="22"/>
              </w:rPr>
              <w:t xml:space="preserve">PROTECTION </w:t>
            </w:r>
            <w:r w:rsidRPr="7DA89621">
              <w:rPr>
                <w:rFonts w:ascii="Lato" w:eastAsia="Lato" w:hAnsi="Lato" w:cs="Lato"/>
                <w:b/>
                <w:bCs/>
                <w:color w:val="000000" w:themeColor="text1"/>
                <w:sz w:val="22"/>
              </w:rPr>
              <w:t xml:space="preserve"> </w:t>
            </w:r>
            <w:r w:rsidR="7DA89621" w:rsidRPr="7DA89621">
              <w:rPr>
                <w:rFonts w:ascii="Lato" w:eastAsia="Lato" w:hAnsi="Lato" w:cs="Lato"/>
                <w:b/>
                <w:bCs/>
                <w:color w:val="000000" w:themeColor="text1"/>
                <w:sz w:val="22"/>
              </w:rPr>
              <w:t>(PRO)</w:t>
            </w:r>
          </w:p>
        </w:tc>
        <w:tc>
          <w:tcPr>
            <w:tcW w:w="855" w:type="dxa"/>
            <w:vMerge w:val="restart"/>
            <w:tcBorders>
              <w:top w:val="single" w:sz="4" w:space="0" w:color="auto"/>
              <w:left w:val="single" w:sz="4" w:space="0" w:color="auto"/>
              <w:bottom w:val="single" w:sz="8" w:space="0" w:color="000000" w:themeColor="text1"/>
              <w:right w:val="single" w:sz="8" w:space="0" w:color="000000" w:themeColor="text1"/>
            </w:tcBorders>
            <w:tcMar>
              <w:left w:w="108" w:type="dxa"/>
              <w:right w:w="108" w:type="dxa"/>
            </w:tcMar>
            <w:textDirection w:val="btLr"/>
            <w:vAlign w:val="center"/>
          </w:tcPr>
          <w:p w14:paraId="0E6BD264" w14:textId="27B033B1" w:rsidR="7DA89621" w:rsidRDefault="7DA89621" w:rsidP="008566D6">
            <w:pPr>
              <w:ind w:left="113" w:right="113"/>
              <w:rPr>
                <w:rFonts w:ascii="Lato" w:eastAsia="Lato" w:hAnsi="Lato" w:cs="Lato"/>
                <w:b/>
                <w:bCs/>
                <w:color w:val="000000" w:themeColor="text1"/>
                <w:sz w:val="22"/>
              </w:rPr>
            </w:pPr>
            <w:r w:rsidRPr="7DA89621">
              <w:rPr>
                <w:rFonts w:ascii="Lato" w:eastAsia="Lato" w:hAnsi="Lato" w:cs="Lato"/>
                <w:b/>
                <w:bCs/>
                <w:color w:val="000000" w:themeColor="text1"/>
                <w:sz w:val="22"/>
              </w:rPr>
              <w:t xml:space="preserve"> </w:t>
            </w:r>
          </w:p>
          <w:p w14:paraId="6CD20121" w14:textId="6E68D843" w:rsidR="7DA89621" w:rsidRDefault="7DA89621" w:rsidP="008566D6">
            <w:pPr>
              <w:ind w:left="113" w:right="113"/>
              <w:rPr>
                <w:rFonts w:ascii="Lato" w:eastAsia="Lato" w:hAnsi="Lato" w:cs="Lato"/>
                <w:color w:val="000000" w:themeColor="text1"/>
                <w:sz w:val="22"/>
              </w:rPr>
            </w:pPr>
            <w:r w:rsidRPr="7DA89621">
              <w:rPr>
                <w:rFonts w:ascii="Lato" w:eastAsia="Lato" w:hAnsi="Lato" w:cs="Lato"/>
                <w:b/>
                <w:bCs/>
                <w:color w:val="000000" w:themeColor="text1"/>
                <w:sz w:val="22"/>
                <w:lang w:val="fr"/>
              </w:rPr>
              <w:t xml:space="preserve"> </w:t>
            </w:r>
            <w:r w:rsidRPr="7DA89621">
              <w:rPr>
                <w:rFonts w:ascii="Lato" w:eastAsia="Lato" w:hAnsi="Lato" w:cs="Lato"/>
                <w:b/>
                <w:bCs/>
                <w:color w:val="000000" w:themeColor="text1"/>
                <w:sz w:val="22"/>
              </w:rPr>
              <w:t xml:space="preserve">Outcome(s) </w:t>
            </w:r>
            <w:r w:rsidRPr="7DA89621">
              <w:rPr>
                <w:rFonts w:ascii="Lato" w:eastAsia="Lato" w:hAnsi="Lato" w:cs="Lato"/>
                <w:color w:val="000000" w:themeColor="text1"/>
                <w:sz w:val="22"/>
              </w:rPr>
              <w:t xml:space="preserve"> </w:t>
            </w:r>
          </w:p>
        </w:tc>
        <w:tc>
          <w:tcPr>
            <w:tcW w:w="2835" w:type="dxa"/>
            <w:tcBorders>
              <w:top w:val="single" w:sz="4" w:space="0" w:color="auto"/>
              <w:left w:val="single" w:sz="8" w:space="0" w:color="000000" w:themeColor="text1"/>
              <w:bottom w:val="single" w:sz="8" w:space="0" w:color="auto"/>
              <w:right w:val="single" w:sz="8" w:space="0" w:color="auto"/>
            </w:tcBorders>
            <w:shd w:val="clear" w:color="auto" w:fill="83CCEB"/>
            <w:tcMar>
              <w:left w:w="108" w:type="dxa"/>
              <w:right w:w="108" w:type="dxa"/>
            </w:tcMar>
          </w:tcPr>
          <w:p w14:paraId="3DE5206B" w14:textId="1C9147A4" w:rsidR="7DA89621" w:rsidRDefault="7DA89621" w:rsidP="7DA89621">
            <w:pPr>
              <w:spacing w:after="240"/>
              <w:jc w:val="left"/>
              <w:rPr>
                <w:rFonts w:ascii="Lato" w:eastAsia="Lato" w:hAnsi="Lato" w:cs="Lato"/>
                <w:b/>
                <w:bCs/>
                <w:color w:val="000000" w:themeColor="text1"/>
                <w:sz w:val="22"/>
              </w:rPr>
            </w:pPr>
            <w:r w:rsidRPr="7DA89621">
              <w:rPr>
                <w:rFonts w:ascii="Lato" w:eastAsia="Lato" w:hAnsi="Lato" w:cs="Lato"/>
                <w:b/>
                <w:bCs/>
                <w:color w:val="000000" w:themeColor="text1"/>
                <w:sz w:val="22"/>
              </w:rPr>
              <w:t xml:space="preserve">% of targeted persons reporting an increased sense of safety and well-being after engaging in the protection activities under this project </w:t>
            </w:r>
          </w:p>
        </w:tc>
        <w:tc>
          <w:tcPr>
            <w:tcW w:w="851" w:type="dxa"/>
            <w:tcBorders>
              <w:top w:val="single" w:sz="4" w:space="0" w:color="auto"/>
              <w:left w:val="single" w:sz="8" w:space="0" w:color="auto"/>
              <w:bottom w:val="single" w:sz="8" w:space="0" w:color="000000" w:themeColor="text1"/>
              <w:right w:val="single" w:sz="8" w:space="0" w:color="000000" w:themeColor="text1"/>
            </w:tcBorders>
            <w:shd w:val="clear" w:color="auto" w:fill="83CCEB"/>
            <w:tcMar>
              <w:left w:w="108" w:type="dxa"/>
              <w:right w:w="108" w:type="dxa"/>
            </w:tcMar>
            <w:vAlign w:val="center"/>
          </w:tcPr>
          <w:p w14:paraId="6D8BCAAE" w14:textId="5BFAFC7E" w:rsidR="7DA89621" w:rsidRDefault="7DA89621" w:rsidP="7DA89621">
            <w:pPr>
              <w:rPr>
                <w:rFonts w:ascii="Lato" w:eastAsia="Lato" w:hAnsi="Lato" w:cs="Lato"/>
                <w:sz w:val="22"/>
              </w:rPr>
            </w:pPr>
            <w:r w:rsidRPr="7DA89621">
              <w:rPr>
                <w:rFonts w:ascii="Lato" w:eastAsia="Lato" w:hAnsi="Lato" w:cs="Lato"/>
                <w:sz w:val="22"/>
              </w:rPr>
              <w:t xml:space="preserve"> </w:t>
            </w:r>
          </w:p>
        </w:tc>
        <w:tc>
          <w:tcPr>
            <w:tcW w:w="1134" w:type="dxa"/>
            <w:tcBorders>
              <w:top w:val="single" w:sz="4" w:space="0" w:color="auto"/>
              <w:left w:val="single" w:sz="8" w:space="0" w:color="000000" w:themeColor="text1"/>
              <w:bottom w:val="single" w:sz="8" w:space="0" w:color="auto"/>
              <w:right w:val="single" w:sz="8" w:space="0" w:color="auto"/>
            </w:tcBorders>
            <w:shd w:val="clear" w:color="auto" w:fill="80BFD7"/>
            <w:tcMar>
              <w:left w:w="108" w:type="dxa"/>
              <w:right w:w="108" w:type="dxa"/>
            </w:tcMar>
            <w:vAlign w:val="center"/>
          </w:tcPr>
          <w:p w14:paraId="703D90F8" w14:textId="026B9B83" w:rsidR="7DA89621" w:rsidRDefault="7DA89621" w:rsidP="7DA89621">
            <w:pPr>
              <w:jc w:val="left"/>
              <w:rPr>
                <w:rFonts w:ascii="Lato" w:eastAsia="Lato" w:hAnsi="Lato" w:cs="Lato"/>
                <w:i/>
                <w:iCs/>
                <w:color w:val="000000" w:themeColor="text1"/>
                <w:sz w:val="22"/>
              </w:rPr>
            </w:pPr>
            <w:r w:rsidRPr="7DA89621">
              <w:rPr>
                <w:rFonts w:ascii="Lato" w:eastAsia="Lato" w:hAnsi="Lato" w:cs="Lato"/>
                <w:i/>
                <w:iCs/>
                <w:color w:val="000000" w:themeColor="text1"/>
                <w:sz w:val="22"/>
              </w:rPr>
              <w:t xml:space="preserve"> </w:t>
            </w:r>
          </w:p>
        </w:tc>
        <w:tc>
          <w:tcPr>
            <w:tcW w:w="1842" w:type="dxa"/>
            <w:tcBorders>
              <w:top w:val="single" w:sz="4" w:space="0" w:color="auto"/>
              <w:left w:val="single" w:sz="8" w:space="0" w:color="auto"/>
              <w:bottom w:val="single" w:sz="8" w:space="0" w:color="000000" w:themeColor="text1"/>
              <w:right w:val="single" w:sz="8" w:space="0" w:color="000000" w:themeColor="text1"/>
            </w:tcBorders>
            <w:shd w:val="clear" w:color="auto" w:fill="83CCEB"/>
            <w:tcMar>
              <w:left w:w="108" w:type="dxa"/>
              <w:right w:w="108" w:type="dxa"/>
            </w:tcMar>
            <w:vAlign w:val="center"/>
          </w:tcPr>
          <w:p w14:paraId="6FBB1AFA" w14:textId="16160F0D" w:rsidR="7DA89621" w:rsidRDefault="7DA89621" w:rsidP="7DA89621">
            <w:pPr>
              <w:rPr>
                <w:rFonts w:ascii="Lato" w:eastAsia="Lato" w:hAnsi="Lato" w:cs="Lato"/>
                <w:sz w:val="22"/>
                <w:lang w:val="fr-FR"/>
              </w:rPr>
            </w:pPr>
            <w:r w:rsidRPr="7DA89621">
              <w:rPr>
                <w:rFonts w:ascii="Lato" w:eastAsia="Lato" w:hAnsi="Lato" w:cs="Lato"/>
                <w:sz w:val="22"/>
                <w:lang w:val="fr-FR"/>
              </w:rPr>
              <w:t>"Ecole Nouvelle Zoranje: 97.3 %;                                         "Ecole Nationale Zoranje: 97.1%</w:t>
            </w:r>
          </w:p>
        </w:tc>
        <w:tc>
          <w:tcPr>
            <w:tcW w:w="1985"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83CCEB"/>
            <w:tcMar>
              <w:left w:w="108" w:type="dxa"/>
              <w:right w:w="108" w:type="dxa"/>
            </w:tcMar>
            <w:vAlign w:val="center"/>
          </w:tcPr>
          <w:p w14:paraId="1418990B" w14:textId="497C6D0F" w:rsidR="7DA89621" w:rsidRDefault="7DA89621" w:rsidP="7DA89621">
            <w:pPr>
              <w:rPr>
                <w:rFonts w:ascii="Lato" w:eastAsia="Lato" w:hAnsi="Lato" w:cs="Lato"/>
                <w:sz w:val="22"/>
                <w:lang w:val="fr"/>
              </w:rPr>
            </w:pPr>
            <w:r w:rsidRPr="7DA89621">
              <w:rPr>
                <w:rFonts w:ascii="Lato" w:eastAsia="Lato" w:hAnsi="Lato" w:cs="Lato"/>
                <w:sz w:val="22"/>
                <w:lang w:val="fr"/>
              </w:rPr>
              <w:t xml:space="preserve"> </w:t>
            </w:r>
          </w:p>
        </w:tc>
        <w:tc>
          <w:tcPr>
            <w:tcW w:w="1260" w:type="dxa"/>
            <w:tcBorders>
              <w:top w:val="single" w:sz="4" w:space="0" w:color="auto"/>
              <w:left w:val="single" w:sz="8" w:space="0" w:color="000000" w:themeColor="text1"/>
              <w:bottom w:val="single" w:sz="8" w:space="0" w:color="000000" w:themeColor="text1"/>
              <w:right w:val="single" w:sz="4" w:space="0" w:color="auto"/>
            </w:tcBorders>
            <w:shd w:val="clear" w:color="auto" w:fill="83CCEB"/>
            <w:tcMar>
              <w:left w:w="108" w:type="dxa"/>
              <w:right w:w="108" w:type="dxa"/>
            </w:tcMar>
            <w:vAlign w:val="center"/>
          </w:tcPr>
          <w:p w14:paraId="53398FC0" w14:textId="15CF580D" w:rsidR="7DA89621" w:rsidRDefault="7DA89621" w:rsidP="7DA89621">
            <w:pPr>
              <w:rPr>
                <w:rFonts w:ascii="Lato" w:eastAsia="Lato" w:hAnsi="Lato" w:cs="Lato"/>
                <w:sz w:val="22"/>
                <w:lang w:val="fr"/>
              </w:rPr>
            </w:pPr>
            <w:r w:rsidRPr="7DA89621">
              <w:rPr>
                <w:rFonts w:ascii="Lato" w:eastAsia="Lato" w:hAnsi="Lato" w:cs="Lato"/>
                <w:sz w:val="22"/>
                <w:lang w:val="fr"/>
              </w:rPr>
              <w:t xml:space="preserve"> </w:t>
            </w:r>
          </w:p>
        </w:tc>
      </w:tr>
      <w:tr w:rsidR="002463B5" w:rsidRPr="00787CD8" w14:paraId="7D3B478E" w14:textId="77777777" w:rsidTr="00776E21">
        <w:trPr>
          <w:trHeight w:val="300"/>
        </w:trPr>
        <w:tc>
          <w:tcPr>
            <w:tcW w:w="983" w:type="dxa"/>
            <w:vMerge/>
            <w:tcBorders>
              <w:left w:val="single" w:sz="4" w:space="0" w:color="auto"/>
              <w:bottom w:val="single" w:sz="4" w:space="0" w:color="auto"/>
              <w:right w:val="single" w:sz="4" w:space="0" w:color="auto"/>
            </w:tcBorders>
            <w:textDirection w:val="btLr"/>
            <w:vAlign w:val="center"/>
          </w:tcPr>
          <w:p w14:paraId="2B4804EE" w14:textId="77777777" w:rsidR="00F46EA9" w:rsidRPr="00D96892" w:rsidRDefault="00F46EA9" w:rsidP="00D96892">
            <w:pPr>
              <w:ind w:left="113" w:right="113"/>
              <w:rPr>
                <w:lang w:val="nl-NL"/>
              </w:rPr>
            </w:pPr>
          </w:p>
        </w:tc>
        <w:tc>
          <w:tcPr>
            <w:tcW w:w="855" w:type="dxa"/>
            <w:vMerge/>
            <w:tcBorders>
              <w:left w:val="single" w:sz="4" w:space="0" w:color="auto"/>
              <w:bottom w:val="single" w:sz="4" w:space="0" w:color="auto"/>
            </w:tcBorders>
            <w:textDirection w:val="btLr"/>
            <w:vAlign w:val="center"/>
          </w:tcPr>
          <w:p w14:paraId="64B13BF5" w14:textId="77777777" w:rsidR="00F46EA9" w:rsidRPr="00D96892" w:rsidRDefault="00F46EA9" w:rsidP="00D96892">
            <w:pPr>
              <w:ind w:left="113" w:right="113"/>
              <w:rPr>
                <w:lang w:val="nl-NL"/>
              </w:rPr>
            </w:pPr>
          </w:p>
        </w:tc>
        <w:tc>
          <w:tcPr>
            <w:tcW w:w="2835" w:type="dxa"/>
            <w:tcBorders>
              <w:top w:val="single" w:sz="8" w:space="0" w:color="auto"/>
              <w:left w:val="nil"/>
              <w:bottom w:val="single" w:sz="8" w:space="0" w:color="auto"/>
              <w:right w:val="single" w:sz="8" w:space="0" w:color="auto"/>
            </w:tcBorders>
            <w:shd w:val="clear" w:color="auto" w:fill="83CCEB"/>
            <w:tcMar>
              <w:left w:w="108" w:type="dxa"/>
              <w:right w:w="108" w:type="dxa"/>
            </w:tcMar>
          </w:tcPr>
          <w:p w14:paraId="3C059074" w14:textId="19644728" w:rsidR="7DA89621" w:rsidRDefault="7DA89621" w:rsidP="7DA89621">
            <w:pPr>
              <w:jc w:val="left"/>
              <w:rPr>
                <w:rFonts w:ascii="Lato" w:eastAsia="Lato" w:hAnsi="Lato" w:cs="Lato"/>
                <w:b/>
                <w:bCs/>
                <w:color w:val="000000" w:themeColor="text1"/>
                <w:sz w:val="22"/>
              </w:rPr>
            </w:pPr>
            <w:r w:rsidRPr="7DA89621">
              <w:rPr>
                <w:rFonts w:ascii="Lato" w:eastAsia="Lato" w:hAnsi="Lato" w:cs="Lato"/>
                <w:b/>
                <w:bCs/>
                <w:color w:val="000000" w:themeColor="text1"/>
                <w:sz w:val="22"/>
              </w:rPr>
              <w:t>% of target persons who report improvement in their mental health and psychosocial well-being</w:t>
            </w:r>
          </w:p>
        </w:tc>
        <w:tc>
          <w:tcPr>
            <w:tcW w:w="851" w:type="dxa"/>
            <w:tcBorders>
              <w:top w:val="single" w:sz="8" w:space="0" w:color="000000" w:themeColor="text1"/>
              <w:left w:val="single" w:sz="8" w:space="0" w:color="auto"/>
              <w:bottom w:val="single" w:sz="8" w:space="0" w:color="000000" w:themeColor="text1"/>
              <w:right w:val="single" w:sz="8" w:space="0" w:color="000000" w:themeColor="text1"/>
            </w:tcBorders>
            <w:shd w:val="clear" w:color="auto" w:fill="83CCEB"/>
            <w:tcMar>
              <w:left w:w="108" w:type="dxa"/>
              <w:right w:w="108" w:type="dxa"/>
            </w:tcMar>
            <w:vAlign w:val="center"/>
          </w:tcPr>
          <w:p w14:paraId="3EB30EAE" w14:textId="385E4516" w:rsidR="7DA89621" w:rsidRDefault="7DA89621" w:rsidP="7DA89621">
            <w:pPr>
              <w:rPr>
                <w:rFonts w:ascii="Lato" w:eastAsia="Lato" w:hAnsi="Lato" w:cs="Lato"/>
                <w:sz w:val="22"/>
              </w:rPr>
            </w:pPr>
            <w:r w:rsidRPr="7DA89621">
              <w:rPr>
                <w:rFonts w:ascii="Lato" w:eastAsia="Lato" w:hAnsi="Lato" w:cs="Lato"/>
                <w:sz w:val="22"/>
              </w:rPr>
              <w:t xml:space="preserve"> </w:t>
            </w:r>
          </w:p>
        </w:tc>
        <w:tc>
          <w:tcPr>
            <w:tcW w:w="1134" w:type="dxa"/>
            <w:tcBorders>
              <w:top w:val="single" w:sz="8" w:space="0" w:color="auto"/>
              <w:left w:val="single" w:sz="8" w:space="0" w:color="000000" w:themeColor="text1"/>
              <w:bottom w:val="single" w:sz="8" w:space="0" w:color="auto"/>
              <w:right w:val="single" w:sz="8" w:space="0" w:color="auto"/>
            </w:tcBorders>
            <w:shd w:val="clear" w:color="auto" w:fill="80BFD7"/>
            <w:tcMar>
              <w:left w:w="108" w:type="dxa"/>
              <w:right w:w="108" w:type="dxa"/>
            </w:tcMar>
            <w:vAlign w:val="center"/>
          </w:tcPr>
          <w:p w14:paraId="71EF86FA" w14:textId="3ECBD49D" w:rsidR="7DA89621" w:rsidRDefault="7DA89621" w:rsidP="7DA89621">
            <w:pPr>
              <w:jc w:val="left"/>
              <w:rPr>
                <w:rFonts w:ascii="Lato" w:eastAsia="Lato" w:hAnsi="Lato" w:cs="Lato"/>
                <w:i/>
                <w:iCs/>
                <w:color w:val="000000" w:themeColor="text1"/>
                <w:sz w:val="22"/>
              </w:rPr>
            </w:pPr>
            <w:r w:rsidRPr="7DA89621">
              <w:rPr>
                <w:rFonts w:ascii="Lato" w:eastAsia="Lato" w:hAnsi="Lato" w:cs="Lato"/>
                <w:i/>
                <w:iCs/>
                <w:color w:val="000000" w:themeColor="text1"/>
                <w:sz w:val="22"/>
              </w:rPr>
              <w:t xml:space="preserve"> </w:t>
            </w:r>
          </w:p>
        </w:tc>
        <w:tc>
          <w:tcPr>
            <w:tcW w:w="1842" w:type="dxa"/>
            <w:tcBorders>
              <w:top w:val="single" w:sz="8" w:space="0" w:color="000000" w:themeColor="text1"/>
              <w:left w:val="single" w:sz="8" w:space="0" w:color="auto"/>
              <w:bottom w:val="single" w:sz="8" w:space="0" w:color="000000" w:themeColor="text1"/>
              <w:right w:val="single" w:sz="8" w:space="0" w:color="000000" w:themeColor="text1"/>
            </w:tcBorders>
            <w:shd w:val="clear" w:color="auto" w:fill="83CCEB"/>
            <w:tcMar>
              <w:left w:w="108" w:type="dxa"/>
              <w:right w:w="108" w:type="dxa"/>
            </w:tcMar>
            <w:vAlign w:val="center"/>
          </w:tcPr>
          <w:p w14:paraId="7DADEC41" w14:textId="29CAC8E3" w:rsidR="7DA89621" w:rsidRDefault="7DA89621" w:rsidP="7DA89621">
            <w:pPr>
              <w:rPr>
                <w:rFonts w:ascii="Lato" w:eastAsia="Lato" w:hAnsi="Lato" w:cs="Lato"/>
                <w:sz w:val="22"/>
                <w:lang w:val="fr-FR"/>
              </w:rPr>
            </w:pPr>
            <w:r w:rsidRPr="7DA89621">
              <w:rPr>
                <w:rFonts w:ascii="Lato" w:eastAsia="Lato" w:hAnsi="Lato" w:cs="Lato"/>
                <w:sz w:val="22"/>
                <w:lang w:val="fr-FR"/>
              </w:rPr>
              <w:t>"Ecole Nouvelle Zoranje: 77.3 %;                                             "Ecole Nationale Zoranje: 77.1%</w:t>
            </w:r>
          </w:p>
        </w:tc>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3CCEB"/>
            <w:tcMar>
              <w:left w:w="108" w:type="dxa"/>
              <w:right w:w="108" w:type="dxa"/>
            </w:tcMar>
            <w:vAlign w:val="center"/>
          </w:tcPr>
          <w:p w14:paraId="3109D7E3" w14:textId="397BDD4D" w:rsidR="7DA89621" w:rsidRDefault="7DA89621" w:rsidP="7DA89621">
            <w:pPr>
              <w:rPr>
                <w:rFonts w:ascii="Lato" w:eastAsia="Lato" w:hAnsi="Lato" w:cs="Lato"/>
                <w:sz w:val="22"/>
                <w:lang w:val="fr"/>
              </w:rPr>
            </w:pPr>
            <w:r w:rsidRPr="7DA89621">
              <w:rPr>
                <w:rFonts w:ascii="Lato" w:eastAsia="Lato" w:hAnsi="Lato" w:cs="Lato"/>
                <w:sz w:val="22"/>
                <w:lang w:val="fr"/>
              </w:rPr>
              <w:t xml:space="preserve"> </w:t>
            </w:r>
          </w:p>
        </w:tc>
        <w:tc>
          <w:tcPr>
            <w:tcW w:w="1260"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83CCEB"/>
            <w:tcMar>
              <w:left w:w="108" w:type="dxa"/>
              <w:right w:w="108" w:type="dxa"/>
            </w:tcMar>
            <w:vAlign w:val="center"/>
          </w:tcPr>
          <w:p w14:paraId="76636AF1" w14:textId="49E7BE80" w:rsidR="7DA89621" w:rsidRDefault="7DA89621" w:rsidP="7DA89621">
            <w:pPr>
              <w:rPr>
                <w:rFonts w:ascii="Lato" w:eastAsia="Lato" w:hAnsi="Lato" w:cs="Lato"/>
                <w:sz w:val="22"/>
                <w:lang w:val="fr"/>
              </w:rPr>
            </w:pPr>
            <w:r w:rsidRPr="7DA89621">
              <w:rPr>
                <w:rFonts w:ascii="Lato" w:eastAsia="Lato" w:hAnsi="Lato" w:cs="Lato"/>
                <w:sz w:val="22"/>
                <w:lang w:val="fr"/>
              </w:rPr>
              <w:t xml:space="preserve"> </w:t>
            </w:r>
          </w:p>
        </w:tc>
      </w:tr>
      <w:tr w:rsidR="002463B5" w14:paraId="304324A3" w14:textId="77777777" w:rsidTr="00776E21">
        <w:trPr>
          <w:trHeight w:val="300"/>
        </w:trPr>
        <w:tc>
          <w:tcPr>
            <w:tcW w:w="983" w:type="dxa"/>
            <w:vMerge/>
            <w:tcBorders>
              <w:left w:val="single" w:sz="4" w:space="0" w:color="auto"/>
              <w:bottom w:val="single" w:sz="4" w:space="0" w:color="auto"/>
              <w:right w:val="single" w:sz="4" w:space="0" w:color="auto"/>
            </w:tcBorders>
            <w:textDirection w:val="btLr"/>
            <w:vAlign w:val="center"/>
          </w:tcPr>
          <w:p w14:paraId="5A6FFC87" w14:textId="77777777" w:rsidR="00F46EA9" w:rsidRPr="00D96892" w:rsidRDefault="00F46EA9" w:rsidP="00D96892">
            <w:pPr>
              <w:ind w:left="113" w:right="113"/>
              <w:rPr>
                <w:lang w:val="nl-NL"/>
              </w:rPr>
            </w:pPr>
          </w:p>
        </w:tc>
        <w:tc>
          <w:tcPr>
            <w:tcW w:w="855" w:type="dxa"/>
            <w:vMerge w:val="restart"/>
            <w:tcBorders>
              <w:top w:val="single" w:sz="4" w:space="0" w:color="auto"/>
              <w:left w:val="single" w:sz="4" w:space="0" w:color="auto"/>
              <w:bottom w:val="single" w:sz="4" w:space="0" w:color="auto"/>
              <w:right w:val="single" w:sz="4" w:space="0" w:color="auto"/>
            </w:tcBorders>
            <w:tcMar>
              <w:left w:w="108" w:type="dxa"/>
              <w:right w:w="108" w:type="dxa"/>
            </w:tcMar>
            <w:textDirection w:val="btLr"/>
            <w:vAlign w:val="center"/>
          </w:tcPr>
          <w:p w14:paraId="152321BB" w14:textId="0C39A2D4" w:rsidR="7DA89621" w:rsidRDefault="7DA89621" w:rsidP="00D96892">
            <w:pPr>
              <w:ind w:left="113" w:right="113"/>
              <w:rPr>
                <w:rFonts w:ascii="Lato" w:eastAsia="Lato" w:hAnsi="Lato" w:cs="Lato"/>
                <w:b/>
                <w:bCs/>
                <w:color w:val="000000" w:themeColor="text1"/>
                <w:sz w:val="22"/>
                <w:lang w:val="fr"/>
              </w:rPr>
            </w:pPr>
            <w:r w:rsidRPr="7DA89621">
              <w:rPr>
                <w:rFonts w:ascii="Lato" w:eastAsia="Lato" w:hAnsi="Lato" w:cs="Lato"/>
                <w:b/>
                <w:bCs/>
                <w:color w:val="000000" w:themeColor="text1"/>
                <w:sz w:val="22"/>
                <w:lang w:val="fr"/>
              </w:rPr>
              <w:t xml:space="preserve"> </w:t>
            </w:r>
          </w:p>
          <w:p w14:paraId="24189AC9" w14:textId="329B497C" w:rsidR="7DA89621" w:rsidRDefault="7DA89621" w:rsidP="00D96892">
            <w:pPr>
              <w:ind w:left="113" w:right="113"/>
              <w:rPr>
                <w:rFonts w:ascii="Lato" w:eastAsia="Lato" w:hAnsi="Lato" w:cs="Lato"/>
                <w:b/>
                <w:bCs/>
                <w:color w:val="000000" w:themeColor="text1"/>
                <w:sz w:val="22"/>
              </w:rPr>
            </w:pPr>
            <w:r w:rsidRPr="7DA89621">
              <w:rPr>
                <w:rFonts w:ascii="Lato" w:eastAsia="Lato" w:hAnsi="Lato" w:cs="Lato"/>
                <w:b/>
                <w:bCs/>
                <w:color w:val="000000" w:themeColor="text1"/>
                <w:sz w:val="22"/>
                <w:lang w:val="fr"/>
              </w:rPr>
              <w:t xml:space="preserve"> </w:t>
            </w:r>
            <w:r w:rsidRPr="7DA89621">
              <w:rPr>
                <w:rFonts w:ascii="Lato" w:eastAsia="Lato" w:hAnsi="Lato" w:cs="Lato"/>
                <w:b/>
                <w:bCs/>
                <w:color w:val="000000" w:themeColor="text1"/>
                <w:sz w:val="22"/>
              </w:rPr>
              <w:t xml:space="preserve">Output(s) </w:t>
            </w:r>
          </w:p>
          <w:p w14:paraId="0BAD2365" w14:textId="72A32BE9" w:rsidR="7DA89621" w:rsidRDefault="7DA89621" w:rsidP="00D96892">
            <w:pPr>
              <w:ind w:left="113" w:right="113"/>
              <w:rPr>
                <w:rFonts w:ascii="Lato" w:eastAsia="Lato" w:hAnsi="Lato" w:cs="Lato"/>
                <w:b/>
                <w:bCs/>
                <w:color w:val="000000" w:themeColor="text1"/>
                <w:sz w:val="22"/>
              </w:rPr>
            </w:pPr>
            <w:r w:rsidRPr="7DA89621">
              <w:rPr>
                <w:rFonts w:ascii="Lato" w:eastAsia="Lato" w:hAnsi="Lato" w:cs="Lato"/>
                <w:b/>
                <w:bCs/>
                <w:color w:val="000000" w:themeColor="text1"/>
                <w:sz w:val="22"/>
              </w:rPr>
              <w:t xml:space="preserve"> </w:t>
            </w:r>
          </w:p>
          <w:p w14:paraId="5A02A34D" w14:textId="00D45318" w:rsidR="7DA89621" w:rsidRDefault="7DA89621" w:rsidP="00D96892">
            <w:pPr>
              <w:ind w:left="113" w:right="113"/>
              <w:rPr>
                <w:rFonts w:ascii="Lato" w:eastAsia="Lato" w:hAnsi="Lato" w:cs="Lato"/>
                <w:b/>
                <w:bCs/>
                <w:color w:val="000000" w:themeColor="text1"/>
                <w:sz w:val="22"/>
              </w:rPr>
            </w:pPr>
            <w:r w:rsidRPr="7DA89621">
              <w:rPr>
                <w:rFonts w:ascii="Lato" w:eastAsia="Lato" w:hAnsi="Lato" w:cs="Lato"/>
                <w:b/>
                <w:bCs/>
                <w:color w:val="000000" w:themeColor="text1"/>
                <w:sz w:val="22"/>
              </w:rPr>
              <w:t xml:space="preserve"> </w:t>
            </w:r>
          </w:p>
          <w:p w14:paraId="02119CE6" w14:textId="76B93FCC" w:rsidR="7DA89621" w:rsidRDefault="7DA89621" w:rsidP="00D96892">
            <w:pPr>
              <w:ind w:left="113" w:right="113"/>
              <w:rPr>
                <w:rFonts w:ascii="Lato" w:eastAsia="Lato" w:hAnsi="Lato" w:cs="Lato"/>
                <w:b/>
                <w:bCs/>
                <w:color w:val="000000" w:themeColor="text1"/>
                <w:sz w:val="22"/>
              </w:rPr>
            </w:pPr>
            <w:r w:rsidRPr="7DA89621">
              <w:rPr>
                <w:rFonts w:ascii="Lato" w:eastAsia="Lato" w:hAnsi="Lato" w:cs="Lato"/>
                <w:b/>
                <w:bCs/>
                <w:color w:val="000000" w:themeColor="text1"/>
                <w:sz w:val="22"/>
              </w:rPr>
              <w:t xml:space="preserve"> </w:t>
            </w:r>
          </w:p>
        </w:tc>
        <w:tc>
          <w:tcPr>
            <w:tcW w:w="2835" w:type="dxa"/>
            <w:tcBorders>
              <w:top w:val="single" w:sz="8" w:space="0" w:color="auto"/>
              <w:left w:val="single" w:sz="4" w:space="0" w:color="auto"/>
              <w:bottom w:val="single" w:sz="8" w:space="0" w:color="auto"/>
              <w:right w:val="single" w:sz="8" w:space="0" w:color="auto"/>
            </w:tcBorders>
            <w:shd w:val="clear" w:color="auto" w:fill="CAEDFB"/>
            <w:tcMar>
              <w:left w:w="108" w:type="dxa"/>
              <w:right w:w="108" w:type="dxa"/>
            </w:tcMar>
          </w:tcPr>
          <w:p w14:paraId="24E43AEA" w14:textId="16D43512" w:rsidR="7DA89621" w:rsidRDefault="7DA89621" w:rsidP="7DA89621">
            <w:pPr>
              <w:jc w:val="left"/>
              <w:rPr>
                <w:rFonts w:ascii="Lato" w:eastAsia="Lato" w:hAnsi="Lato" w:cs="Lato"/>
                <w:color w:val="000000" w:themeColor="text1"/>
                <w:sz w:val="22"/>
              </w:rPr>
            </w:pPr>
            <w:r w:rsidRPr="7DA89621">
              <w:rPr>
                <w:rFonts w:ascii="Lato" w:eastAsia="Lato" w:hAnsi="Lato" w:cs="Lato"/>
                <w:color w:val="000000" w:themeColor="text1"/>
                <w:sz w:val="22"/>
              </w:rPr>
              <w:t>Number of persons (women/girls ; men/boys) who receive an appropriate response or prevention actions</w:t>
            </w:r>
          </w:p>
        </w:tc>
        <w:tc>
          <w:tcPr>
            <w:tcW w:w="851" w:type="dxa"/>
            <w:tcBorders>
              <w:top w:val="single" w:sz="8" w:space="0" w:color="000000" w:themeColor="text1"/>
              <w:left w:val="single" w:sz="8" w:space="0" w:color="auto"/>
              <w:bottom w:val="single" w:sz="8" w:space="0" w:color="auto"/>
              <w:right w:val="single" w:sz="8" w:space="0" w:color="auto"/>
            </w:tcBorders>
            <w:shd w:val="clear" w:color="auto" w:fill="AFCDD9"/>
            <w:tcMar>
              <w:left w:w="108" w:type="dxa"/>
              <w:right w:w="108" w:type="dxa"/>
            </w:tcMar>
            <w:vAlign w:val="center"/>
          </w:tcPr>
          <w:p w14:paraId="02D426BF" w14:textId="56C10FCE" w:rsidR="7DA89621" w:rsidRDefault="7DA89621" w:rsidP="7DA89621">
            <w:pPr>
              <w:jc w:val="left"/>
              <w:rPr>
                <w:rFonts w:ascii="Lato" w:eastAsia="Lato" w:hAnsi="Lato" w:cs="Lato"/>
                <w:i/>
                <w:iCs/>
                <w:color w:val="000000" w:themeColor="text1"/>
                <w:sz w:val="22"/>
              </w:rPr>
            </w:pPr>
            <w:r w:rsidRPr="7DA89621">
              <w:rPr>
                <w:rFonts w:ascii="Lato" w:eastAsia="Lato" w:hAnsi="Lato" w:cs="Lato"/>
                <w:i/>
                <w:iCs/>
                <w:color w:val="000000" w:themeColor="text1"/>
                <w:sz w:val="22"/>
              </w:rPr>
              <w:t xml:space="preserve"> </w:t>
            </w:r>
          </w:p>
        </w:tc>
        <w:tc>
          <w:tcPr>
            <w:tcW w:w="1134" w:type="dxa"/>
            <w:tcBorders>
              <w:top w:val="single" w:sz="8" w:space="0" w:color="auto"/>
              <w:left w:val="single" w:sz="8" w:space="0" w:color="auto"/>
              <w:bottom w:val="single" w:sz="8" w:space="0" w:color="000000" w:themeColor="text1"/>
              <w:right w:val="single" w:sz="8" w:space="0" w:color="000000" w:themeColor="text1"/>
            </w:tcBorders>
            <w:shd w:val="clear" w:color="auto" w:fill="CAEDFB"/>
            <w:tcMar>
              <w:left w:w="108" w:type="dxa"/>
              <w:right w:w="108" w:type="dxa"/>
            </w:tcMar>
            <w:vAlign w:val="center"/>
          </w:tcPr>
          <w:p w14:paraId="5FAA5FA8" w14:textId="249124FF" w:rsidR="7DA89621" w:rsidRDefault="7DA89621" w:rsidP="7DA89621">
            <w:pPr>
              <w:jc w:val="center"/>
              <w:rPr>
                <w:rFonts w:ascii="Lato" w:eastAsia="Lato" w:hAnsi="Lato" w:cs="Lato"/>
                <w:sz w:val="22"/>
              </w:rPr>
            </w:pPr>
            <w:r w:rsidRPr="7DA89621">
              <w:rPr>
                <w:rFonts w:ascii="Lato" w:eastAsia="Lato" w:hAnsi="Lato" w:cs="Lato"/>
                <w:sz w:val="22"/>
              </w:rPr>
              <w:t>570</w:t>
            </w: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AEDFB"/>
            <w:tcMar>
              <w:left w:w="108" w:type="dxa"/>
              <w:right w:w="108" w:type="dxa"/>
            </w:tcMar>
            <w:vAlign w:val="center"/>
          </w:tcPr>
          <w:p w14:paraId="007638A4" w14:textId="6C80C513" w:rsidR="7DA89621" w:rsidRDefault="7DA89621" w:rsidP="7DA89621">
            <w:pPr>
              <w:jc w:val="center"/>
              <w:rPr>
                <w:rFonts w:ascii="Lato" w:eastAsia="Lato" w:hAnsi="Lato" w:cs="Lato"/>
                <w:sz w:val="22"/>
              </w:rPr>
            </w:pPr>
            <w:r w:rsidRPr="7DA89621">
              <w:rPr>
                <w:rFonts w:ascii="Lato" w:eastAsia="Lato" w:hAnsi="Lato" w:cs="Lato"/>
                <w:sz w:val="22"/>
              </w:rPr>
              <w:t>570</w:t>
            </w:r>
          </w:p>
        </w:tc>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AEDFB"/>
            <w:tcMar>
              <w:left w:w="108" w:type="dxa"/>
              <w:right w:w="108" w:type="dxa"/>
            </w:tcMar>
            <w:vAlign w:val="center"/>
          </w:tcPr>
          <w:p w14:paraId="2C611F26" w14:textId="279C089D" w:rsidR="7DA89621" w:rsidRDefault="003568EF" w:rsidP="7DA89621">
            <w:pPr>
              <w:rPr>
                <w:rFonts w:ascii="Lato" w:eastAsia="Lato" w:hAnsi="Lato" w:cs="Lato"/>
                <w:sz w:val="22"/>
              </w:rPr>
            </w:pPr>
            <w:r>
              <w:rPr>
                <w:rFonts w:ascii="Lato" w:eastAsia="Lato" w:hAnsi="Lato" w:cs="Lato"/>
                <w:sz w:val="22"/>
              </w:rPr>
              <w:t>N/A</w:t>
            </w:r>
          </w:p>
        </w:tc>
        <w:tc>
          <w:tcPr>
            <w:tcW w:w="1260"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CAEDFB"/>
            <w:tcMar>
              <w:left w:w="108" w:type="dxa"/>
              <w:right w:w="108" w:type="dxa"/>
            </w:tcMar>
            <w:vAlign w:val="center"/>
          </w:tcPr>
          <w:p w14:paraId="696FE51D" w14:textId="3CA66F49" w:rsidR="7DA89621" w:rsidRDefault="7DA89621" w:rsidP="7DA89621">
            <w:pPr>
              <w:rPr>
                <w:rFonts w:ascii="Lato" w:eastAsia="Lato" w:hAnsi="Lato" w:cs="Lato"/>
                <w:sz w:val="22"/>
              </w:rPr>
            </w:pPr>
          </w:p>
        </w:tc>
      </w:tr>
      <w:tr w:rsidR="002463B5" w14:paraId="260166D7" w14:textId="77777777" w:rsidTr="00776E21">
        <w:trPr>
          <w:trHeight w:val="1305"/>
        </w:trPr>
        <w:tc>
          <w:tcPr>
            <w:tcW w:w="983" w:type="dxa"/>
            <w:vMerge/>
            <w:tcBorders>
              <w:left w:val="single" w:sz="4" w:space="0" w:color="auto"/>
              <w:bottom w:val="single" w:sz="4" w:space="0" w:color="auto"/>
              <w:right w:val="single" w:sz="4" w:space="0" w:color="auto"/>
            </w:tcBorders>
            <w:textDirection w:val="btLr"/>
            <w:vAlign w:val="center"/>
          </w:tcPr>
          <w:p w14:paraId="65E0FB28" w14:textId="77777777" w:rsidR="00F46EA9" w:rsidRDefault="00F46EA9" w:rsidP="00D96892">
            <w:pPr>
              <w:ind w:left="113" w:right="113"/>
            </w:pPr>
          </w:p>
        </w:tc>
        <w:tc>
          <w:tcPr>
            <w:tcW w:w="855" w:type="dxa"/>
            <w:vMerge/>
            <w:tcBorders>
              <w:left w:val="single" w:sz="4" w:space="0" w:color="auto"/>
              <w:bottom w:val="single" w:sz="4" w:space="0" w:color="auto"/>
              <w:right w:val="single" w:sz="4" w:space="0" w:color="auto"/>
            </w:tcBorders>
            <w:textDirection w:val="btLr"/>
            <w:vAlign w:val="center"/>
          </w:tcPr>
          <w:p w14:paraId="0A9D6CAF" w14:textId="77777777" w:rsidR="00F46EA9" w:rsidRDefault="00F46EA9" w:rsidP="00D96892">
            <w:pPr>
              <w:ind w:left="113" w:right="113"/>
            </w:pPr>
          </w:p>
        </w:tc>
        <w:tc>
          <w:tcPr>
            <w:tcW w:w="2835" w:type="dxa"/>
            <w:tcBorders>
              <w:top w:val="single" w:sz="8" w:space="0" w:color="auto"/>
              <w:left w:val="single" w:sz="4" w:space="0" w:color="auto"/>
              <w:bottom w:val="single" w:sz="8" w:space="0" w:color="auto"/>
              <w:right w:val="single" w:sz="8" w:space="0" w:color="auto"/>
            </w:tcBorders>
            <w:shd w:val="clear" w:color="auto" w:fill="CAEDFB"/>
            <w:tcMar>
              <w:left w:w="108" w:type="dxa"/>
              <w:right w:w="108" w:type="dxa"/>
            </w:tcMar>
          </w:tcPr>
          <w:p w14:paraId="4FA4CB92" w14:textId="329B4637" w:rsidR="7DA89621" w:rsidRDefault="7DA89621" w:rsidP="7DA89621">
            <w:pPr>
              <w:jc w:val="left"/>
              <w:rPr>
                <w:rFonts w:ascii="Lato" w:eastAsia="Lato" w:hAnsi="Lato" w:cs="Lato"/>
                <w:color w:val="000000" w:themeColor="text1"/>
                <w:sz w:val="22"/>
              </w:rPr>
            </w:pPr>
            <w:r w:rsidRPr="7DA89621">
              <w:rPr>
                <w:rFonts w:ascii="Lato" w:eastAsia="Lato" w:hAnsi="Lato" w:cs="Lato"/>
                <w:color w:val="000000" w:themeColor="text1"/>
                <w:sz w:val="22"/>
              </w:rPr>
              <w:t>Number of persons with increased/appropriate information on relevant rights and/or entitlements</w:t>
            </w:r>
          </w:p>
        </w:tc>
        <w:tc>
          <w:tcPr>
            <w:tcW w:w="851" w:type="dxa"/>
            <w:tcBorders>
              <w:top w:val="single" w:sz="8" w:space="0" w:color="auto"/>
              <w:left w:val="single" w:sz="8" w:space="0" w:color="auto"/>
              <w:bottom w:val="single" w:sz="8" w:space="0" w:color="auto"/>
              <w:right w:val="single" w:sz="8" w:space="0" w:color="auto"/>
            </w:tcBorders>
            <w:shd w:val="clear" w:color="auto" w:fill="AFCDD9"/>
            <w:tcMar>
              <w:left w:w="108" w:type="dxa"/>
              <w:right w:w="108" w:type="dxa"/>
            </w:tcMar>
            <w:vAlign w:val="center"/>
          </w:tcPr>
          <w:p w14:paraId="1FAB1913" w14:textId="47FFA5CE" w:rsidR="7DA89621" w:rsidRDefault="7DA89621" w:rsidP="7DA89621">
            <w:pPr>
              <w:jc w:val="left"/>
              <w:rPr>
                <w:rFonts w:ascii="Lato" w:eastAsia="Lato" w:hAnsi="Lato" w:cs="Lato"/>
                <w:i/>
                <w:iCs/>
                <w:color w:val="000000" w:themeColor="text1"/>
                <w:sz w:val="22"/>
              </w:rPr>
            </w:pPr>
            <w:r w:rsidRPr="7DA89621">
              <w:rPr>
                <w:rFonts w:ascii="Lato" w:eastAsia="Lato" w:hAnsi="Lato" w:cs="Lato"/>
                <w:i/>
                <w:iCs/>
                <w:color w:val="000000" w:themeColor="text1"/>
                <w:sz w:val="22"/>
              </w:rPr>
              <w:t xml:space="preserve"> </w:t>
            </w:r>
          </w:p>
        </w:tc>
        <w:tc>
          <w:tcPr>
            <w:tcW w:w="1134" w:type="dxa"/>
            <w:tcBorders>
              <w:top w:val="single" w:sz="8" w:space="0" w:color="000000" w:themeColor="text1"/>
              <w:left w:val="single" w:sz="8" w:space="0" w:color="auto"/>
              <w:bottom w:val="single" w:sz="8" w:space="0" w:color="000000" w:themeColor="text1"/>
              <w:right w:val="single" w:sz="8" w:space="0" w:color="000000" w:themeColor="text1"/>
            </w:tcBorders>
            <w:shd w:val="clear" w:color="auto" w:fill="CAEDFB"/>
            <w:tcMar>
              <w:left w:w="108" w:type="dxa"/>
              <w:right w:w="108" w:type="dxa"/>
            </w:tcMar>
            <w:vAlign w:val="center"/>
          </w:tcPr>
          <w:p w14:paraId="0ED76933" w14:textId="6FDA7A57" w:rsidR="7DA89621" w:rsidRDefault="7DA89621" w:rsidP="7DA89621">
            <w:pPr>
              <w:jc w:val="center"/>
              <w:rPr>
                <w:rFonts w:ascii="Lato" w:eastAsia="Lato" w:hAnsi="Lato" w:cs="Lato"/>
                <w:sz w:val="22"/>
              </w:rPr>
            </w:pPr>
            <w:r w:rsidRPr="7DA89621">
              <w:rPr>
                <w:rFonts w:ascii="Lato" w:eastAsia="Lato" w:hAnsi="Lato" w:cs="Lato"/>
                <w:sz w:val="22"/>
              </w:rPr>
              <w:t>570</w:t>
            </w: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AEDFB"/>
            <w:tcMar>
              <w:left w:w="108" w:type="dxa"/>
              <w:right w:w="108" w:type="dxa"/>
            </w:tcMar>
            <w:vAlign w:val="center"/>
          </w:tcPr>
          <w:p w14:paraId="3ECD311D" w14:textId="235B87AE" w:rsidR="7DA89621" w:rsidRDefault="7DA89621" w:rsidP="7DA89621">
            <w:pPr>
              <w:jc w:val="center"/>
              <w:rPr>
                <w:rFonts w:ascii="Lato" w:eastAsia="Lato" w:hAnsi="Lato" w:cs="Lato"/>
                <w:sz w:val="22"/>
              </w:rPr>
            </w:pPr>
            <w:r w:rsidRPr="7DA89621">
              <w:rPr>
                <w:rFonts w:ascii="Lato" w:eastAsia="Lato" w:hAnsi="Lato" w:cs="Lato"/>
                <w:sz w:val="22"/>
              </w:rPr>
              <w:t>570</w:t>
            </w:r>
          </w:p>
        </w:tc>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AEDFB"/>
            <w:tcMar>
              <w:left w:w="108" w:type="dxa"/>
              <w:right w:w="108" w:type="dxa"/>
            </w:tcMar>
            <w:vAlign w:val="center"/>
          </w:tcPr>
          <w:p w14:paraId="0F2167DC" w14:textId="46F4D5AF" w:rsidR="7DA89621" w:rsidRDefault="003568EF" w:rsidP="7DA89621">
            <w:pPr>
              <w:rPr>
                <w:rFonts w:ascii="Lato" w:eastAsia="Lato" w:hAnsi="Lato" w:cs="Lato"/>
                <w:sz w:val="22"/>
              </w:rPr>
            </w:pPr>
            <w:r>
              <w:rPr>
                <w:rFonts w:ascii="Lato" w:eastAsia="Lato" w:hAnsi="Lato" w:cs="Lato"/>
                <w:sz w:val="22"/>
              </w:rPr>
              <w:t>N/A</w:t>
            </w:r>
          </w:p>
        </w:tc>
        <w:tc>
          <w:tcPr>
            <w:tcW w:w="1260"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CAEDFB"/>
            <w:tcMar>
              <w:left w:w="108" w:type="dxa"/>
              <w:right w:w="108" w:type="dxa"/>
            </w:tcMar>
            <w:vAlign w:val="center"/>
          </w:tcPr>
          <w:p w14:paraId="638839E2" w14:textId="7BA09A11" w:rsidR="7DA89621" w:rsidRDefault="7DA89621" w:rsidP="7DA89621">
            <w:pPr>
              <w:rPr>
                <w:rFonts w:ascii="Lato" w:eastAsia="Lato" w:hAnsi="Lato" w:cs="Lato"/>
                <w:sz w:val="22"/>
              </w:rPr>
            </w:pPr>
          </w:p>
        </w:tc>
      </w:tr>
      <w:tr w:rsidR="002463B5" w14:paraId="15108507" w14:textId="77777777" w:rsidTr="00776E21">
        <w:trPr>
          <w:trHeight w:val="300"/>
        </w:trPr>
        <w:tc>
          <w:tcPr>
            <w:tcW w:w="983" w:type="dxa"/>
            <w:vMerge/>
            <w:tcBorders>
              <w:left w:val="single" w:sz="4" w:space="0" w:color="auto"/>
              <w:bottom w:val="single" w:sz="4" w:space="0" w:color="auto"/>
              <w:right w:val="single" w:sz="4" w:space="0" w:color="auto"/>
            </w:tcBorders>
            <w:textDirection w:val="btLr"/>
            <w:vAlign w:val="center"/>
          </w:tcPr>
          <w:p w14:paraId="06A19F93" w14:textId="77777777" w:rsidR="00F46EA9" w:rsidRDefault="00F46EA9" w:rsidP="00D96892">
            <w:pPr>
              <w:ind w:left="113" w:right="113"/>
            </w:pPr>
          </w:p>
        </w:tc>
        <w:tc>
          <w:tcPr>
            <w:tcW w:w="855" w:type="dxa"/>
            <w:vMerge/>
            <w:tcBorders>
              <w:left w:val="single" w:sz="4" w:space="0" w:color="auto"/>
              <w:bottom w:val="single" w:sz="4" w:space="0" w:color="auto"/>
              <w:right w:val="single" w:sz="4" w:space="0" w:color="auto"/>
            </w:tcBorders>
            <w:textDirection w:val="btLr"/>
            <w:vAlign w:val="center"/>
          </w:tcPr>
          <w:p w14:paraId="270FE0C9" w14:textId="77777777" w:rsidR="00F46EA9" w:rsidRDefault="00F46EA9" w:rsidP="00D96892">
            <w:pPr>
              <w:ind w:left="113" w:right="113"/>
            </w:pPr>
          </w:p>
        </w:tc>
        <w:tc>
          <w:tcPr>
            <w:tcW w:w="2835" w:type="dxa"/>
            <w:tcBorders>
              <w:top w:val="single" w:sz="8" w:space="0" w:color="auto"/>
              <w:left w:val="single" w:sz="4" w:space="0" w:color="auto"/>
              <w:bottom w:val="single" w:sz="8" w:space="0" w:color="auto"/>
              <w:right w:val="single" w:sz="8" w:space="0" w:color="auto"/>
            </w:tcBorders>
            <w:shd w:val="clear" w:color="auto" w:fill="CAEDFB"/>
            <w:tcMar>
              <w:left w:w="108" w:type="dxa"/>
              <w:right w:w="108" w:type="dxa"/>
            </w:tcMar>
          </w:tcPr>
          <w:p w14:paraId="6C0E5206" w14:textId="1AF9941F" w:rsidR="7DA89621" w:rsidRDefault="7DA89621" w:rsidP="7DA89621">
            <w:pPr>
              <w:jc w:val="left"/>
              <w:rPr>
                <w:rFonts w:ascii="Lato" w:eastAsia="Lato" w:hAnsi="Lato" w:cs="Lato"/>
                <w:color w:val="000000" w:themeColor="text1"/>
                <w:sz w:val="22"/>
              </w:rPr>
            </w:pPr>
            <w:r w:rsidRPr="7DA89621">
              <w:rPr>
                <w:rFonts w:ascii="Lato" w:eastAsia="Lato" w:hAnsi="Lato" w:cs="Lato"/>
                <w:color w:val="000000" w:themeColor="text1"/>
                <w:sz w:val="22"/>
              </w:rPr>
              <w:t xml:space="preserve">Number of advocacy products produced and </w:t>
            </w:r>
            <w:r w:rsidRPr="7DA89621">
              <w:rPr>
                <w:rFonts w:ascii="Lato" w:eastAsia="Lato" w:hAnsi="Lato" w:cs="Lato"/>
                <w:color w:val="000000" w:themeColor="text1"/>
                <w:sz w:val="22"/>
              </w:rPr>
              <w:lastRenderedPageBreak/>
              <w:t>disseminated AND/OR number of meetings/events held</w:t>
            </w:r>
          </w:p>
        </w:tc>
        <w:tc>
          <w:tcPr>
            <w:tcW w:w="851" w:type="dxa"/>
            <w:tcBorders>
              <w:top w:val="single" w:sz="8" w:space="0" w:color="auto"/>
              <w:left w:val="single" w:sz="8" w:space="0" w:color="auto"/>
              <w:bottom w:val="single" w:sz="8" w:space="0" w:color="auto"/>
              <w:right w:val="single" w:sz="8" w:space="0" w:color="auto"/>
            </w:tcBorders>
            <w:shd w:val="clear" w:color="auto" w:fill="AFCDD9"/>
            <w:tcMar>
              <w:left w:w="108" w:type="dxa"/>
              <w:right w:w="108" w:type="dxa"/>
            </w:tcMar>
            <w:vAlign w:val="center"/>
          </w:tcPr>
          <w:p w14:paraId="275A8790" w14:textId="44396846" w:rsidR="7DA89621" w:rsidRDefault="7DA89621" w:rsidP="7DA89621">
            <w:pPr>
              <w:jc w:val="left"/>
              <w:rPr>
                <w:rFonts w:ascii="Lato" w:eastAsia="Lato" w:hAnsi="Lato" w:cs="Lato"/>
                <w:i/>
                <w:iCs/>
                <w:color w:val="000000" w:themeColor="text1"/>
                <w:sz w:val="22"/>
              </w:rPr>
            </w:pPr>
            <w:r w:rsidRPr="7DA89621">
              <w:rPr>
                <w:rFonts w:ascii="Lato" w:eastAsia="Lato" w:hAnsi="Lato" w:cs="Lato"/>
                <w:i/>
                <w:iCs/>
                <w:color w:val="000000" w:themeColor="text1"/>
                <w:sz w:val="22"/>
              </w:rPr>
              <w:lastRenderedPageBreak/>
              <w:t xml:space="preserve"> </w:t>
            </w:r>
          </w:p>
        </w:tc>
        <w:tc>
          <w:tcPr>
            <w:tcW w:w="1134" w:type="dxa"/>
            <w:tcBorders>
              <w:top w:val="single" w:sz="8" w:space="0" w:color="000000" w:themeColor="text1"/>
              <w:left w:val="single" w:sz="8" w:space="0" w:color="auto"/>
              <w:bottom w:val="single" w:sz="8" w:space="0" w:color="000000" w:themeColor="text1"/>
              <w:right w:val="single" w:sz="8" w:space="0" w:color="000000" w:themeColor="text1"/>
            </w:tcBorders>
            <w:shd w:val="clear" w:color="auto" w:fill="CAEDFB"/>
            <w:tcMar>
              <w:left w:w="108" w:type="dxa"/>
              <w:right w:w="108" w:type="dxa"/>
            </w:tcMar>
            <w:vAlign w:val="center"/>
          </w:tcPr>
          <w:p w14:paraId="0013A396" w14:textId="44AA4184" w:rsidR="7DA89621" w:rsidRDefault="7DA89621" w:rsidP="7DA89621">
            <w:pPr>
              <w:jc w:val="center"/>
              <w:rPr>
                <w:rFonts w:ascii="Lato" w:eastAsia="Lato" w:hAnsi="Lato" w:cs="Lato"/>
                <w:sz w:val="22"/>
              </w:rPr>
            </w:pPr>
            <w:r w:rsidRPr="7DA89621">
              <w:rPr>
                <w:rFonts w:ascii="Lato" w:eastAsia="Lato" w:hAnsi="Lato" w:cs="Lato"/>
                <w:sz w:val="22"/>
              </w:rPr>
              <w:t>3</w:t>
            </w: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AEDFB"/>
            <w:tcMar>
              <w:left w:w="108" w:type="dxa"/>
              <w:right w:w="108" w:type="dxa"/>
            </w:tcMar>
            <w:vAlign w:val="center"/>
          </w:tcPr>
          <w:p w14:paraId="3B242CA8" w14:textId="0AF2E7BC" w:rsidR="7DA89621" w:rsidRDefault="7DA89621" w:rsidP="7DA89621">
            <w:pPr>
              <w:jc w:val="center"/>
              <w:rPr>
                <w:rFonts w:ascii="Lato" w:eastAsia="Lato" w:hAnsi="Lato" w:cs="Lato"/>
                <w:sz w:val="22"/>
              </w:rPr>
            </w:pPr>
            <w:r w:rsidRPr="7DA89621">
              <w:rPr>
                <w:rFonts w:ascii="Lato" w:eastAsia="Lato" w:hAnsi="Lato" w:cs="Lato"/>
                <w:sz w:val="22"/>
              </w:rPr>
              <w:t>20</w:t>
            </w:r>
          </w:p>
        </w:tc>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AEDFB"/>
            <w:tcMar>
              <w:left w:w="108" w:type="dxa"/>
              <w:right w:w="108" w:type="dxa"/>
            </w:tcMar>
            <w:vAlign w:val="center"/>
          </w:tcPr>
          <w:p w14:paraId="72E5C6AA" w14:textId="239D1E6A" w:rsidR="7DA89621" w:rsidRDefault="45AF8AEA" w:rsidP="4CA2BE91">
            <w:pPr>
              <w:rPr>
                <w:rFonts w:ascii="Lato" w:eastAsia="Lato" w:hAnsi="Lato" w:cs="Lato"/>
                <w:sz w:val="22"/>
              </w:rPr>
            </w:pPr>
            <w:r w:rsidRPr="4CA2BE91">
              <w:rPr>
                <w:rFonts w:ascii="Lato" w:eastAsia="Lato" w:hAnsi="Lato" w:cs="Lato"/>
                <w:sz w:val="22"/>
              </w:rPr>
              <w:t xml:space="preserve">The initial target of 3 for the </w:t>
            </w:r>
            <w:r w:rsidRPr="4CA2BE91">
              <w:rPr>
                <w:rFonts w:ascii="Lato" w:eastAsia="Lato" w:hAnsi="Lato" w:cs="Lato"/>
                <w:sz w:val="22"/>
              </w:rPr>
              <w:lastRenderedPageBreak/>
              <w:t>indicator "Number of advocacy products produced and disseminated AND/OR number of meetings/events held" was significantly exceeded. A total of 7 meetings were organized with teachers, school directors, parents, and other community members. Additionally, 13 advocacy posters were prepared and displayed in various locations, especially schools, to raise awareness about children's rights and gender-based violence. These activities were carried out in collaboration with and for the education actors and the sub-cluster on Gender-Based Violence (GBV), bringing the total to 20 products/meetings, reflecting a higher level of engagement and mobilization than originally anticipated.</w:t>
            </w:r>
          </w:p>
        </w:tc>
        <w:tc>
          <w:tcPr>
            <w:tcW w:w="1260"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CAEDFB"/>
            <w:tcMar>
              <w:left w:w="108" w:type="dxa"/>
              <w:right w:w="108" w:type="dxa"/>
            </w:tcMar>
            <w:vAlign w:val="center"/>
          </w:tcPr>
          <w:p w14:paraId="0E8921D0" w14:textId="013892A5" w:rsidR="7DA89621" w:rsidRDefault="7DA89621" w:rsidP="7DA89621">
            <w:pPr>
              <w:rPr>
                <w:rFonts w:ascii="Lato" w:eastAsia="Lato" w:hAnsi="Lato" w:cs="Lato"/>
                <w:sz w:val="22"/>
              </w:rPr>
            </w:pPr>
          </w:p>
        </w:tc>
      </w:tr>
      <w:tr w:rsidR="002463B5" w14:paraId="78077296" w14:textId="77777777" w:rsidTr="00776E21">
        <w:trPr>
          <w:trHeight w:val="300"/>
        </w:trPr>
        <w:tc>
          <w:tcPr>
            <w:tcW w:w="983" w:type="dxa"/>
            <w:vMerge/>
            <w:tcBorders>
              <w:left w:val="single" w:sz="4" w:space="0" w:color="auto"/>
              <w:bottom w:val="single" w:sz="4" w:space="0" w:color="auto"/>
              <w:right w:val="single" w:sz="4" w:space="0" w:color="auto"/>
            </w:tcBorders>
            <w:textDirection w:val="btLr"/>
            <w:vAlign w:val="center"/>
          </w:tcPr>
          <w:p w14:paraId="7DCE54BF" w14:textId="77777777" w:rsidR="00F46EA9" w:rsidRDefault="00F46EA9" w:rsidP="00D96892">
            <w:pPr>
              <w:ind w:left="113" w:right="113"/>
            </w:pPr>
          </w:p>
        </w:tc>
        <w:tc>
          <w:tcPr>
            <w:tcW w:w="855" w:type="dxa"/>
            <w:vMerge/>
            <w:tcBorders>
              <w:left w:val="single" w:sz="4" w:space="0" w:color="auto"/>
              <w:bottom w:val="single" w:sz="4" w:space="0" w:color="auto"/>
              <w:right w:val="single" w:sz="4" w:space="0" w:color="auto"/>
            </w:tcBorders>
            <w:textDirection w:val="btLr"/>
            <w:vAlign w:val="center"/>
          </w:tcPr>
          <w:p w14:paraId="32094B88" w14:textId="77777777" w:rsidR="00F46EA9" w:rsidRDefault="00F46EA9" w:rsidP="00D96892">
            <w:pPr>
              <w:ind w:left="113" w:right="113"/>
            </w:pPr>
          </w:p>
        </w:tc>
        <w:tc>
          <w:tcPr>
            <w:tcW w:w="2835" w:type="dxa"/>
            <w:tcBorders>
              <w:top w:val="single" w:sz="8" w:space="0" w:color="auto"/>
              <w:left w:val="single" w:sz="4" w:space="0" w:color="auto"/>
              <w:bottom w:val="single" w:sz="8" w:space="0" w:color="auto"/>
              <w:right w:val="single" w:sz="8" w:space="0" w:color="auto"/>
            </w:tcBorders>
            <w:shd w:val="clear" w:color="auto" w:fill="CAEDFB"/>
            <w:tcMar>
              <w:left w:w="108" w:type="dxa"/>
              <w:right w:w="108" w:type="dxa"/>
            </w:tcMar>
          </w:tcPr>
          <w:p w14:paraId="79F3D519" w14:textId="50E3B6CB" w:rsidR="7DA89621" w:rsidRDefault="7DA89621" w:rsidP="7DA89621">
            <w:pPr>
              <w:jc w:val="left"/>
              <w:rPr>
                <w:rFonts w:ascii="Lato" w:eastAsia="Lato" w:hAnsi="Lato" w:cs="Lato"/>
                <w:color w:val="000000" w:themeColor="text1"/>
                <w:sz w:val="22"/>
              </w:rPr>
            </w:pPr>
            <w:r w:rsidRPr="7DA89621">
              <w:rPr>
                <w:rFonts w:ascii="Lato" w:eastAsia="Lato" w:hAnsi="Lato" w:cs="Lato"/>
                <w:color w:val="000000" w:themeColor="text1"/>
                <w:sz w:val="22"/>
              </w:rPr>
              <w:t xml:space="preserve">Number of children (girls and boys) that received </w:t>
            </w:r>
            <w:r w:rsidRPr="7DA89621">
              <w:rPr>
                <w:rFonts w:ascii="Lato" w:eastAsia="Lato" w:hAnsi="Lato" w:cs="Lato"/>
                <w:color w:val="000000" w:themeColor="text1"/>
                <w:sz w:val="22"/>
              </w:rPr>
              <w:lastRenderedPageBreak/>
              <w:t>support specified to their needs</w:t>
            </w:r>
          </w:p>
        </w:tc>
        <w:tc>
          <w:tcPr>
            <w:tcW w:w="851" w:type="dxa"/>
            <w:tcBorders>
              <w:top w:val="single" w:sz="8" w:space="0" w:color="auto"/>
              <w:left w:val="single" w:sz="8" w:space="0" w:color="auto"/>
              <w:bottom w:val="single" w:sz="8" w:space="0" w:color="auto"/>
              <w:right w:val="single" w:sz="8" w:space="0" w:color="auto"/>
            </w:tcBorders>
            <w:shd w:val="clear" w:color="auto" w:fill="AFCDD9"/>
            <w:tcMar>
              <w:left w:w="108" w:type="dxa"/>
              <w:right w:w="108" w:type="dxa"/>
            </w:tcMar>
            <w:vAlign w:val="center"/>
          </w:tcPr>
          <w:p w14:paraId="7EA8E4DA" w14:textId="74819A01" w:rsidR="7DA89621" w:rsidRDefault="7DA89621" w:rsidP="7DA89621">
            <w:pPr>
              <w:jc w:val="left"/>
              <w:rPr>
                <w:rFonts w:ascii="Lato" w:eastAsia="Lato" w:hAnsi="Lato" w:cs="Lato"/>
                <w:i/>
                <w:iCs/>
                <w:color w:val="000000" w:themeColor="text1"/>
                <w:sz w:val="22"/>
              </w:rPr>
            </w:pPr>
            <w:r w:rsidRPr="7DA89621">
              <w:rPr>
                <w:rFonts w:ascii="Lato" w:eastAsia="Lato" w:hAnsi="Lato" w:cs="Lato"/>
                <w:i/>
                <w:iCs/>
                <w:color w:val="000000" w:themeColor="text1"/>
                <w:sz w:val="22"/>
              </w:rPr>
              <w:lastRenderedPageBreak/>
              <w:t xml:space="preserve"> </w:t>
            </w:r>
          </w:p>
        </w:tc>
        <w:tc>
          <w:tcPr>
            <w:tcW w:w="1134" w:type="dxa"/>
            <w:tcBorders>
              <w:top w:val="single" w:sz="8" w:space="0" w:color="000000" w:themeColor="text1"/>
              <w:left w:val="single" w:sz="8" w:space="0" w:color="auto"/>
              <w:bottom w:val="single" w:sz="8" w:space="0" w:color="000000" w:themeColor="text1"/>
              <w:right w:val="single" w:sz="8" w:space="0" w:color="000000" w:themeColor="text1"/>
            </w:tcBorders>
            <w:shd w:val="clear" w:color="auto" w:fill="CAEDFB"/>
            <w:tcMar>
              <w:left w:w="108" w:type="dxa"/>
              <w:right w:w="108" w:type="dxa"/>
            </w:tcMar>
            <w:vAlign w:val="center"/>
          </w:tcPr>
          <w:p w14:paraId="07871C92" w14:textId="1E21A601" w:rsidR="7DA89621" w:rsidRDefault="7DA89621" w:rsidP="7DA89621">
            <w:pPr>
              <w:jc w:val="center"/>
              <w:rPr>
                <w:rFonts w:ascii="Lato" w:eastAsia="Lato" w:hAnsi="Lato" w:cs="Lato"/>
                <w:sz w:val="22"/>
              </w:rPr>
            </w:pPr>
            <w:r w:rsidRPr="7DA89621">
              <w:rPr>
                <w:rFonts w:ascii="Lato" w:eastAsia="Lato" w:hAnsi="Lato" w:cs="Lato"/>
                <w:sz w:val="22"/>
              </w:rPr>
              <w:t>524</w:t>
            </w: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AEDFB"/>
            <w:tcMar>
              <w:left w:w="108" w:type="dxa"/>
              <w:right w:w="108" w:type="dxa"/>
            </w:tcMar>
            <w:vAlign w:val="center"/>
          </w:tcPr>
          <w:p w14:paraId="4829EEA6" w14:textId="2ED50FCA" w:rsidR="7DA89621" w:rsidRDefault="7DA89621" w:rsidP="7DA89621">
            <w:pPr>
              <w:jc w:val="center"/>
              <w:rPr>
                <w:rFonts w:ascii="Lato" w:eastAsia="Lato" w:hAnsi="Lato" w:cs="Lato"/>
                <w:sz w:val="22"/>
              </w:rPr>
            </w:pPr>
            <w:r w:rsidRPr="7DA89621">
              <w:rPr>
                <w:rFonts w:ascii="Lato" w:eastAsia="Lato" w:hAnsi="Lato" w:cs="Lato"/>
                <w:sz w:val="22"/>
              </w:rPr>
              <w:t>524</w:t>
            </w:r>
          </w:p>
        </w:tc>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AEDFB"/>
            <w:tcMar>
              <w:left w:w="108" w:type="dxa"/>
              <w:right w:w="108" w:type="dxa"/>
            </w:tcMar>
            <w:vAlign w:val="center"/>
          </w:tcPr>
          <w:p w14:paraId="4E916BEB" w14:textId="2C0589E3" w:rsidR="7DA89621" w:rsidRDefault="5712916D" w:rsidP="4CA2BE91">
            <w:pPr>
              <w:rPr>
                <w:rFonts w:ascii="Lato" w:eastAsia="Lato" w:hAnsi="Lato" w:cs="Lato"/>
                <w:sz w:val="22"/>
              </w:rPr>
            </w:pPr>
            <w:r w:rsidRPr="4CA2BE91">
              <w:rPr>
                <w:rFonts w:ascii="Lato" w:eastAsia="Lato" w:hAnsi="Lato" w:cs="Lato"/>
                <w:sz w:val="22"/>
              </w:rPr>
              <w:t xml:space="preserve">attendance lists for psychosocial </w:t>
            </w:r>
            <w:r w:rsidRPr="4CA2BE91">
              <w:rPr>
                <w:rFonts w:ascii="Lato" w:eastAsia="Lato" w:hAnsi="Lato" w:cs="Lato"/>
                <w:sz w:val="22"/>
              </w:rPr>
              <w:lastRenderedPageBreak/>
              <w:t xml:space="preserve">support sessions and learning space activities </w:t>
            </w:r>
          </w:p>
        </w:tc>
        <w:tc>
          <w:tcPr>
            <w:tcW w:w="1260"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CAEDFB"/>
            <w:tcMar>
              <w:left w:w="108" w:type="dxa"/>
              <w:right w:w="108" w:type="dxa"/>
            </w:tcMar>
            <w:vAlign w:val="center"/>
          </w:tcPr>
          <w:p w14:paraId="536C8CCA" w14:textId="6F4D8639" w:rsidR="7DA89621" w:rsidRDefault="7DA89621" w:rsidP="7DA89621">
            <w:pPr>
              <w:rPr>
                <w:rFonts w:ascii="Lato" w:eastAsia="Lato" w:hAnsi="Lato" w:cs="Lato"/>
                <w:sz w:val="22"/>
              </w:rPr>
            </w:pPr>
          </w:p>
        </w:tc>
      </w:tr>
      <w:tr w:rsidR="00927904" w14:paraId="23FC6A9E" w14:textId="77777777" w:rsidTr="00776E21">
        <w:trPr>
          <w:cantSplit/>
          <w:trHeight w:val="3706"/>
        </w:trPr>
        <w:tc>
          <w:tcPr>
            <w:tcW w:w="983" w:type="dxa"/>
            <w:vMerge w:val="restart"/>
            <w:tcBorders>
              <w:top w:val="single" w:sz="4" w:space="0" w:color="auto"/>
              <w:left w:val="single" w:sz="4" w:space="0" w:color="auto"/>
              <w:bottom w:val="single" w:sz="4" w:space="0" w:color="auto"/>
              <w:right w:val="single" w:sz="4" w:space="0" w:color="auto"/>
            </w:tcBorders>
            <w:shd w:val="clear" w:color="auto" w:fill="83E28E"/>
            <w:tcMar>
              <w:left w:w="108" w:type="dxa"/>
              <w:right w:w="108" w:type="dxa"/>
            </w:tcMar>
            <w:textDirection w:val="btLr"/>
            <w:vAlign w:val="center"/>
          </w:tcPr>
          <w:p w14:paraId="1AAA4F63" w14:textId="2836B844" w:rsidR="7DA89621" w:rsidRDefault="7DA89621" w:rsidP="00D96892">
            <w:pPr>
              <w:ind w:left="113" w:right="113"/>
              <w:jc w:val="center"/>
              <w:rPr>
                <w:rFonts w:ascii="Lato" w:eastAsia="Lato" w:hAnsi="Lato" w:cs="Lato"/>
                <w:b/>
                <w:bCs/>
                <w:color w:val="000000" w:themeColor="text1"/>
                <w:sz w:val="22"/>
              </w:rPr>
            </w:pPr>
            <w:r w:rsidRPr="7DA89621">
              <w:rPr>
                <w:rFonts w:ascii="Lato" w:eastAsia="Lato" w:hAnsi="Lato" w:cs="Lato"/>
                <w:b/>
                <w:bCs/>
                <w:color w:val="000000" w:themeColor="text1"/>
                <w:sz w:val="22"/>
              </w:rPr>
              <w:t>MULTI-PURPOSE CASH (MPC)</w:t>
            </w:r>
          </w:p>
        </w:tc>
        <w:tc>
          <w:tcPr>
            <w:tcW w:w="855" w:type="dxa"/>
            <w:tcBorders>
              <w:top w:val="single" w:sz="4" w:space="0" w:color="auto"/>
              <w:left w:val="single" w:sz="4" w:space="0" w:color="auto"/>
              <w:bottom w:val="single" w:sz="4" w:space="0" w:color="auto"/>
              <w:right w:val="single" w:sz="8" w:space="0" w:color="000000" w:themeColor="text1"/>
            </w:tcBorders>
            <w:tcMar>
              <w:left w:w="108" w:type="dxa"/>
              <w:right w:w="108" w:type="dxa"/>
            </w:tcMar>
            <w:textDirection w:val="btLr"/>
            <w:vAlign w:val="center"/>
          </w:tcPr>
          <w:p w14:paraId="5C85B1CE" w14:textId="2481B9D7" w:rsidR="7DA89621" w:rsidRDefault="7DA89621" w:rsidP="00D96892">
            <w:pPr>
              <w:ind w:left="113" w:right="113"/>
              <w:jc w:val="center"/>
              <w:rPr>
                <w:rFonts w:ascii="Lato" w:eastAsia="Lato" w:hAnsi="Lato" w:cs="Lato"/>
                <w:color w:val="000000" w:themeColor="text1"/>
                <w:sz w:val="22"/>
              </w:rPr>
            </w:pPr>
            <w:r w:rsidRPr="7DA89621">
              <w:rPr>
                <w:rFonts w:ascii="Lato" w:eastAsia="Lato" w:hAnsi="Lato" w:cs="Lato"/>
                <w:b/>
                <w:bCs/>
                <w:color w:val="000000" w:themeColor="text1"/>
                <w:sz w:val="22"/>
              </w:rPr>
              <w:t>Outcome(s)</w:t>
            </w:r>
          </w:p>
        </w:tc>
        <w:tc>
          <w:tcPr>
            <w:tcW w:w="2835" w:type="dxa"/>
            <w:tcBorders>
              <w:top w:val="single" w:sz="8" w:space="0" w:color="auto"/>
              <w:left w:val="single" w:sz="8" w:space="0" w:color="000000" w:themeColor="text1"/>
              <w:bottom w:val="single" w:sz="8" w:space="0" w:color="auto"/>
              <w:right w:val="single" w:sz="8" w:space="0" w:color="auto"/>
            </w:tcBorders>
            <w:shd w:val="clear" w:color="auto" w:fill="B5E6A2"/>
            <w:tcMar>
              <w:left w:w="108" w:type="dxa"/>
              <w:right w:w="108" w:type="dxa"/>
            </w:tcMar>
          </w:tcPr>
          <w:p w14:paraId="026BEAB2" w14:textId="41462B5C" w:rsidR="7DA89621" w:rsidRDefault="7DA89621" w:rsidP="7DA89621">
            <w:pPr>
              <w:jc w:val="left"/>
              <w:rPr>
                <w:rFonts w:ascii="Lato" w:eastAsia="Lato" w:hAnsi="Lato" w:cs="Lato"/>
                <w:b/>
                <w:bCs/>
                <w:color w:val="000000" w:themeColor="text1"/>
                <w:sz w:val="22"/>
              </w:rPr>
            </w:pPr>
            <w:r w:rsidRPr="7DA89621">
              <w:rPr>
                <w:rFonts w:ascii="Lato" w:eastAsia="Lato" w:hAnsi="Lato" w:cs="Lato"/>
                <w:b/>
                <w:bCs/>
                <w:color w:val="000000" w:themeColor="text1"/>
                <w:sz w:val="22"/>
              </w:rPr>
              <w:t xml:space="preserve">% of households who report being able to meet the basic needs of their households (all/most/some/none), according to their priorities.  </w:t>
            </w:r>
          </w:p>
        </w:tc>
        <w:tc>
          <w:tcPr>
            <w:tcW w:w="851" w:type="dxa"/>
            <w:tcBorders>
              <w:top w:val="single" w:sz="8" w:space="0" w:color="auto"/>
              <w:left w:val="single" w:sz="8" w:space="0" w:color="auto"/>
              <w:bottom w:val="single" w:sz="8" w:space="0" w:color="000000" w:themeColor="text1"/>
              <w:right w:val="single" w:sz="8" w:space="0" w:color="000000" w:themeColor="text1"/>
            </w:tcBorders>
            <w:shd w:val="clear" w:color="auto" w:fill="B5E6A2"/>
            <w:tcMar>
              <w:left w:w="108" w:type="dxa"/>
              <w:right w:w="108" w:type="dxa"/>
            </w:tcMar>
            <w:vAlign w:val="center"/>
          </w:tcPr>
          <w:p w14:paraId="56950BD8" w14:textId="4814DA25" w:rsidR="7DA89621" w:rsidRDefault="003568EF" w:rsidP="7DA89621">
            <w:pPr>
              <w:rPr>
                <w:rFonts w:ascii="Lato" w:eastAsia="Lato" w:hAnsi="Lato" w:cs="Lato"/>
                <w:sz w:val="22"/>
              </w:rPr>
            </w:pPr>
            <w:r>
              <w:rPr>
                <w:rFonts w:ascii="Lato" w:eastAsia="Lato" w:hAnsi="Lato" w:cs="Lato"/>
                <w:b/>
                <w:bCs/>
                <w:sz w:val="22"/>
              </w:rPr>
              <w:t>0</w:t>
            </w:r>
          </w:p>
        </w:tc>
        <w:tc>
          <w:tcPr>
            <w:tcW w:w="1134" w:type="dxa"/>
            <w:tcBorders>
              <w:top w:val="single" w:sz="8" w:space="0" w:color="000000" w:themeColor="text1"/>
              <w:left w:val="single" w:sz="8" w:space="0" w:color="000000" w:themeColor="text1"/>
              <w:bottom w:val="single" w:sz="8" w:space="0" w:color="auto"/>
              <w:right w:val="single" w:sz="8" w:space="0" w:color="auto"/>
            </w:tcBorders>
            <w:shd w:val="clear" w:color="auto" w:fill="9DC78C"/>
            <w:tcMar>
              <w:left w:w="108" w:type="dxa"/>
              <w:right w:w="108" w:type="dxa"/>
            </w:tcMar>
            <w:vAlign w:val="center"/>
          </w:tcPr>
          <w:p w14:paraId="51DF7DDF" w14:textId="513DE993" w:rsidR="7DA89621" w:rsidRDefault="7DA89621" w:rsidP="7DA89621">
            <w:pPr>
              <w:jc w:val="center"/>
              <w:rPr>
                <w:rFonts w:ascii="Lato" w:eastAsia="Lato" w:hAnsi="Lato" w:cs="Lato"/>
                <w:i/>
                <w:iCs/>
                <w:color w:val="000000" w:themeColor="text1"/>
                <w:sz w:val="22"/>
              </w:rPr>
            </w:pPr>
            <w:r w:rsidRPr="7DA89621">
              <w:rPr>
                <w:rFonts w:ascii="Lato" w:eastAsia="Lato" w:hAnsi="Lato" w:cs="Lato"/>
                <w:i/>
                <w:iCs/>
                <w:color w:val="000000" w:themeColor="text1"/>
                <w:sz w:val="22"/>
              </w:rPr>
              <w:t xml:space="preserve"> </w:t>
            </w:r>
          </w:p>
        </w:tc>
        <w:tc>
          <w:tcPr>
            <w:tcW w:w="1842" w:type="dxa"/>
            <w:tcBorders>
              <w:top w:val="single" w:sz="8" w:space="0" w:color="000000" w:themeColor="text1"/>
              <w:left w:val="single" w:sz="8" w:space="0" w:color="auto"/>
              <w:bottom w:val="single" w:sz="8" w:space="0" w:color="000000" w:themeColor="text1"/>
              <w:right w:val="single" w:sz="8" w:space="0" w:color="000000" w:themeColor="text1"/>
            </w:tcBorders>
            <w:shd w:val="clear" w:color="auto" w:fill="B5E6A2"/>
            <w:tcMar>
              <w:left w:w="108" w:type="dxa"/>
              <w:right w:w="108" w:type="dxa"/>
            </w:tcMar>
            <w:vAlign w:val="center"/>
          </w:tcPr>
          <w:p w14:paraId="70B522CB" w14:textId="7038FD4C" w:rsidR="7DA89621" w:rsidRDefault="7DA89621" w:rsidP="7DA89621">
            <w:pPr>
              <w:rPr>
                <w:rFonts w:ascii="Lato" w:eastAsia="Lato" w:hAnsi="Lato" w:cs="Lato"/>
                <w:sz w:val="22"/>
              </w:rPr>
            </w:pPr>
            <w:r w:rsidRPr="7DA89621">
              <w:rPr>
                <w:rFonts w:ascii="Lato" w:eastAsia="Lato" w:hAnsi="Lato" w:cs="Lato"/>
                <w:b/>
                <w:bCs/>
                <w:sz w:val="22"/>
              </w:rPr>
              <w:t>Ecole Nationale Republique Colombie:</w:t>
            </w:r>
            <w:r w:rsidRPr="7DA89621">
              <w:rPr>
                <w:rFonts w:ascii="Lato" w:eastAsia="Lato" w:hAnsi="Lato" w:cs="Lato"/>
                <w:sz w:val="22"/>
              </w:rPr>
              <w:t xml:space="preserve">    All = 7 </w:t>
            </w:r>
            <w:r w:rsidR="00196453" w:rsidRPr="7DA89621">
              <w:rPr>
                <w:rFonts w:ascii="Lato" w:eastAsia="Lato" w:hAnsi="Lato" w:cs="Lato"/>
                <w:sz w:val="22"/>
              </w:rPr>
              <w:t xml:space="preserve">%;  </w:t>
            </w:r>
            <w:r w:rsidRPr="7DA89621">
              <w:rPr>
                <w:rFonts w:ascii="Lato" w:eastAsia="Lato" w:hAnsi="Lato" w:cs="Lato"/>
                <w:sz w:val="22"/>
              </w:rPr>
              <w:t xml:space="preserve">Some = 70.6% ;  None = 24.5 %                                                                                         </w:t>
            </w:r>
            <w:r w:rsidRPr="7DA89621">
              <w:rPr>
                <w:rFonts w:ascii="Lato" w:eastAsia="Lato" w:hAnsi="Lato" w:cs="Lato"/>
                <w:b/>
                <w:bCs/>
                <w:sz w:val="22"/>
              </w:rPr>
              <w:t>Ecole Nationale Joseph Bernard de Frere</w:t>
            </w:r>
            <w:r w:rsidRPr="7DA89621">
              <w:rPr>
                <w:rFonts w:ascii="Lato" w:eastAsia="Lato" w:hAnsi="Lato" w:cs="Lato"/>
                <w:sz w:val="22"/>
              </w:rPr>
              <w:t xml:space="preserve">        All:   5.5 % ;    Some: 60.2 % ;  None :  34.4 %</w:t>
            </w:r>
          </w:p>
        </w:tc>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5E6A2"/>
            <w:tcMar>
              <w:left w:w="108" w:type="dxa"/>
              <w:right w:w="108" w:type="dxa"/>
            </w:tcMar>
            <w:vAlign w:val="center"/>
          </w:tcPr>
          <w:p w14:paraId="67448EA4" w14:textId="23E4B852" w:rsidR="7DA89621" w:rsidRDefault="7DA89621" w:rsidP="7DA89621">
            <w:pPr>
              <w:rPr>
                <w:rFonts w:ascii="Lato" w:eastAsia="Lato" w:hAnsi="Lato" w:cs="Lato"/>
                <w:sz w:val="22"/>
              </w:rPr>
            </w:pPr>
            <w:r w:rsidRPr="7DA89621">
              <w:rPr>
                <w:rFonts w:ascii="Lato" w:eastAsia="Lato" w:hAnsi="Lato" w:cs="Lato"/>
                <w:sz w:val="22"/>
              </w:rPr>
              <w:t xml:space="preserve"> </w:t>
            </w:r>
          </w:p>
        </w:tc>
        <w:tc>
          <w:tcPr>
            <w:tcW w:w="1260" w:type="dxa"/>
            <w:tcBorders>
              <w:top w:val="single" w:sz="8" w:space="0" w:color="000000" w:themeColor="text1"/>
              <w:left w:val="single" w:sz="8" w:space="0" w:color="000000" w:themeColor="text1"/>
              <w:bottom w:val="single" w:sz="4" w:space="0" w:color="auto"/>
              <w:right w:val="single" w:sz="4" w:space="0" w:color="auto"/>
            </w:tcBorders>
            <w:shd w:val="clear" w:color="auto" w:fill="B5E6A2"/>
            <w:tcMar>
              <w:left w:w="108" w:type="dxa"/>
              <w:right w:w="108" w:type="dxa"/>
            </w:tcMar>
            <w:vAlign w:val="center"/>
          </w:tcPr>
          <w:p w14:paraId="51CFF52B" w14:textId="2EDBBA95" w:rsidR="7DA89621" w:rsidRDefault="7DA89621" w:rsidP="7DA89621">
            <w:pPr>
              <w:rPr>
                <w:rFonts w:ascii="Lato" w:eastAsia="Lato" w:hAnsi="Lato" w:cs="Lato"/>
                <w:sz w:val="22"/>
              </w:rPr>
            </w:pPr>
            <w:r w:rsidRPr="7DA89621">
              <w:rPr>
                <w:rFonts w:ascii="Lato" w:eastAsia="Lato" w:hAnsi="Lato" w:cs="Lato"/>
                <w:sz w:val="22"/>
              </w:rPr>
              <w:t xml:space="preserve"> </w:t>
            </w:r>
            <w:r w:rsidR="00803AA6">
              <w:rPr>
                <w:rFonts w:ascii="Lato" w:eastAsia="Lato" w:hAnsi="Lato" w:cs="Lato"/>
                <w:sz w:val="22"/>
              </w:rPr>
              <w:t>PDM</w:t>
            </w:r>
          </w:p>
        </w:tc>
      </w:tr>
      <w:tr w:rsidR="002463B5" w14:paraId="77234459" w14:textId="77777777" w:rsidTr="00776E21">
        <w:trPr>
          <w:trHeight w:val="300"/>
        </w:trPr>
        <w:tc>
          <w:tcPr>
            <w:tcW w:w="983" w:type="dxa"/>
            <w:vMerge/>
            <w:tcBorders>
              <w:left w:val="single" w:sz="4" w:space="0" w:color="auto"/>
              <w:bottom w:val="single" w:sz="4" w:space="0" w:color="auto"/>
              <w:right w:val="single" w:sz="4" w:space="0" w:color="auto"/>
            </w:tcBorders>
            <w:textDirection w:val="btLr"/>
            <w:vAlign w:val="center"/>
          </w:tcPr>
          <w:p w14:paraId="54B56650" w14:textId="77777777" w:rsidR="00F46EA9" w:rsidRDefault="00F46EA9" w:rsidP="00D96892">
            <w:pPr>
              <w:ind w:left="113" w:right="113"/>
            </w:pPr>
          </w:p>
        </w:tc>
        <w:tc>
          <w:tcPr>
            <w:tcW w:w="855" w:type="dxa"/>
            <w:vMerge w:val="restart"/>
            <w:tcBorders>
              <w:top w:val="single" w:sz="4" w:space="0" w:color="auto"/>
              <w:left w:val="single" w:sz="4" w:space="0" w:color="auto"/>
              <w:bottom w:val="single" w:sz="4" w:space="0" w:color="auto"/>
              <w:right w:val="single" w:sz="4" w:space="0" w:color="auto"/>
            </w:tcBorders>
            <w:tcMar>
              <w:left w:w="108" w:type="dxa"/>
              <w:right w:w="108" w:type="dxa"/>
            </w:tcMar>
            <w:textDirection w:val="btLr"/>
            <w:vAlign w:val="center"/>
          </w:tcPr>
          <w:p w14:paraId="7AED9722" w14:textId="6F971376" w:rsidR="7DA89621" w:rsidRDefault="7DA89621" w:rsidP="00D96892">
            <w:pPr>
              <w:ind w:left="113" w:right="113"/>
              <w:rPr>
                <w:rFonts w:ascii="Lato" w:eastAsia="Lato" w:hAnsi="Lato" w:cs="Lato"/>
                <w:color w:val="000000" w:themeColor="text1"/>
                <w:sz w:val="22"/>
              </w:rPr>
            </w:pPr>
            <w:r w:rsidRPr="7DA89621">
              <w:rPr>
                <w:rFonts w:ascii="Lato" w:eastAsia="Lato" w:hAnsi="Lato" w:cs="Lato"/>
                <w:b/>
                <w:bCs/>
                <w:color w:val="000000" w:themeColor="text1"/>
                <w:sz w:val="22"/>
              </w:rPr>
              <w:t xml:space="preserve"> Output(s)</w:t>
            </w:r>
            <w:r w:rsidRPr="7DA89621">
              <w:rPr>
                <w:rFonts w:ascii="Lato" w:eastAsia="Lato" w:hAnsi="Lato" w:cs="Lato"/>
                <w:color w:val="000000" w:themeColor="text1"/>
                <w:sz w:val="22"/>
              </w:rPr>
              <w:t xml:space="preserve"> </w:t>
            </w:r>
          </w:p>
          <w:p w14:paraId="2EF8FCC7" w14:textId="12B2F9B0" w:rsidR="7DA89621" w:rsidRDefault="7DA89621" w:rsidP="00D96892">
            <w:pPr>
              <w:ind w:left="113" w:right="113"/>
              <w:rPr>
                <w:rFonts w:ascii="Lato" w:eastAsia="Lato" w:hAnsi="Lato" w:cs="Lato"/>
                <w:b/>
                <w:bCs/>
                <w:color w:val="000000" w:themeColor="text1"/>
                <w:sz w:val="22"/>
              </w:rPr>
            </w:pPr>
            <w:r w:rsidRPr="7DA89621">
              <w:rPr>
                <w:rFonts w:ascii="Lato" w:eastAsia="Lato" w:hAnsi="Lato" w:cs="Lato"/>
                <w:b/>
                <w:bCs/>
                <w:color w:val="000000" w:themeColor="text1"/>
                <w:sz w:val="22"/>
              </w:rPr>
              <w:t xml:space="preserve"> </w:t>
            </w:r>
          </w:p>
        </w:tc>
        <w:tc>
          <w:tcPr>
            <w:tcW w:w="2835" w:type="dxa"/>
            <w:tcBorders>
              <w:top w:val="single" w:sz="8" w:space="0" w:color="auto"/>
              <w:left w:val="single" w:sz="4" w:space="0" w:color="auto"/>
              <w:bottom w:val="single" w:sz="8" w:space="0" w:color="auto"/>
              <w:right w:val="single" w:sz="8" w:space="0" w:color="auto"/>
            </w:tcBorders>
            <w:shd w:val="clear" w:color="auto" w:fill="DAF2D0"/>
            <w:tcMar>
              <w:left w:w="108" w:type="dxa"/>
              <w:right w:w="108" w:type="dxa"/>
            </w:tcMar>
          </w:tcPr>
          <w:p w14:paraId="775C50B4" w14:textId="0CF90F73" w:rsidR="7DA89621" w:rsidRDefault="7DA89621" w:rsidP="7DA89621">
            <w:pPr>
              <w:jc w:val="left"/>
              <w:rPr>
                <w:rFonts w:ascii="Lato" w:eastAsia="Lato" w:hAnsi="Lato" w:cs="Lato"/>
                <w:color w:val="000000" w:themeColor="text1"/>
                <w:sz w:val="22"/>
              </w:rPr>
            </w:pPr>
            <w:r w:rsidRPr="7DA89621">
              <w:rPr>
                <w:rFonts w:ascii="Lato" w:eastAsia="Lato" w:hAnsi="Lato" w:cs="Lato"/>
                <w:color w:val="000000" w:themeColor="text1"/>
                <w:sz w:val="22"/>
              </w:rPr>
              <w:t>Number of people benefitting from unconditional and unrestricted cash transfers</w:t>
            </w:r>
          </w:p>
        </w:tc>
        <w:tc>
          <w:tcPr>
            <w:tcW w:w="851" w:type="dxa"/>
            <w:tcBorders>
              <w:top w:val="single" w:sz="8" w:space="0" w:color="000000" w:themeColor="text1"/>
              <w:left w:val="single" w:sz="8" w:space="0" w:color="auto"/>
              <w:bottom w:val="single" w:sz="8" w:space="0" w:color="auto"/>
              <w:right w:val="single" w:sz="8" w:space="0" w:color="auto"/>
            </w:tcBorders>
            <w:shd w:val="clear" w:color="auto" w:fill="BDD2B4"/>
            <w:tcMar>
              <w:left w:w="108" w:type="dxa"/>
              <w:right w:w="108" w:type="dxa"/>
            </w:tcMar>
            <w:vAlign w:val="center"/>
          </w:tcPr>
          <w:p w14:paraId="161F55EC" w14:textId="7C661FAA" w:rsidR="7DA89621" w:rsidRDefault="7DA89621" w:rsidP="7DA89621">
            <w:pPr>
              <w:jc w:val="center"/>
              <w:rPr>
                <w:rFonts w:ascii="Lato" w:eastAsia="Lato" w:hAnsi="Lato" w:cs="Lato"/>
                <w:i/>
                <w:iCs/>
                <w:color w:val="000000" w:themeColor="text1"/>
                <w:sz w:val="22"/>
              </w:rPr>
            </w:pPr>
            <w:r w:rsidRPr="7DA89621">
              <w:rPr>
                <w:rFonts w:ascii="Lato" w:eastAsia="Lato" w:hAnsi="Lato" w:cs="Lato"/>
                <w:i/>
                <w:iCs/>
                <w:color w:val="000000" w:themeColor="text1"/>
                <w:sz w:val="22"/>
              </w:rPr>
              <w:t xml:space="preserve"> </w:t>
            </w:r>
          </w:p>
        </w:tc>
        <w:tc>
          <w:tcPr>
            <w:tcW w:w="1134" w:type="dxa"/>
            <w:tcBorders>
              <w:top w:val="single" w:sz="8" w:space="0" w:color="auto"/>
              <w:left w:val="single" w:sz="8" w:space="0" w:color="auto"/>
              <w:bottom w:val="single" w:sz="8" w:space="0" w:color="000000" w:themeColor="text1"/>
              <w:right w:val="single" w:sz="8" w:space="0" w:color="000000" w:themeColor="text1"/>
            </w:tcBorders>
            <w:shd w:val="clear" w:color="auto" w:fill="DAF2D0"/>
            <w:tcMar>
              <w:left w:w="108" w:type="dxa"/>
              <w:right w:w="108" w:type="dxa"/>
            </w:tcMar>
            <w:vAlign w:val="center"/>
          </w:tcPr>
          <w:p w14:paraId="3CEF56E1" w14:textId="7EC137E8" w:rsidR="7DA89621" w:rsidRDefault="7DA89621" w:rsidP="7DA89621">
            <w:pPr>
              <w:rPr>
                <w:rFonts w:ascii="Lato" w:eastAsia="Lato" w:hAnsi="Lato" w:cs="Lato"/>
                <w:sz w:val="22"/>
              </w:rPr>
            </w:pPr>
            <w:r w:rsidRPr="7DA89621">
              <w:rPr>
                <w:rFonts w:ascii="Lato" w:eastAsia="Lato" w:hAnsi="Lato" w:cs="Lato"/>
                <w:sz w:val="22"/>
              </w:rPr>
              <w:t>1300</w:t>
            </w: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F2D0"/>
            <w:tcMar>
              <w:left w:w="108" w:type="dxa"/>
              <w:right w:w="108" w:type="dxa"/>
            </w:tcMar>
            <w:vAlign w:val="center"/>
          </w:tcPr>
          <w:p w14:paraId="4C3F397F" w14:textId="26FF93C2" w:rsidR="7DA89621" w:rsidRDefault="7DA89621" w:rsidP="7DA89621">
            <w:pPr>
              <w:rPr>
                <w:rFonts w:ascii="Lato" w:eastAsia="Lato" w:hAnsi="Lato" w:cs="Lato"/>
                <w:sz w:val="22"/>
              </w:rPr>
            </w:pPr>
            <w:r w:rsidRPr="7DA89621">
              <w:rPr>
                <w:rFonts w:ascii="Lato" w:eastAsia="Lato" w:hAnsi="Lato" w:cs="Lato"/>
                <w:sz w:val="22"/>
              </w:rPr>
              <w:t>1202</w:t>
            </w:r>
          </w:p>
        </w:tc>
        <w:tc>
          <w:tcPr>
            <w:tcW w:w="1985" w:type="dxa"/>
            <w:vMerge w:val="restart"/>
            <w:tcBorders>
              <w:top w:val="single" w:sz="8" w:space="0" w:color="000000" w:themeColor="text1"/>
              <w:left w:val="single" w:sz="8" w:space="0" w:color="000000" w:themeColor="text1"/>
              <w:bottom w:val="single" w:sz="8" w:space="0" w:color="000000" w:themeColor="text1"/>
              <w:right w:val="single" w:sz="4" w:space="0" w:color="auto"/>
            </w:tcBorders>
            <w:shd w:val="clear" w:color="auto" w:fill="DAF2D0"/>
            <w:tcMar>
              <w:left w:w="108" w:type="dxa"/>
              <w:right w:w="108" w:type="dxa"/>
            </w:tcMar>
            <w:vAlign w:val="center"/>
          </w:tcPr>
          <w:p w14:paraId="159066C8" w14:textId="5720057C" w:rsidR="002463B5" w:rsidRDefault="002463B5" w:rsidP="7DA89621">
            <w:pPr>
              <w:jc w:val="left"/>
              <w:rPr>
                <w:rFonts w:ascii="Lato" w:eastAsia="Lato" w:hAnsi="Lato" w:cs="Lato"/>
                <w:sz w:val="22"/>
              </w:rPr>
            </w:pPr>
            <w:r w:rsidRPr="002463B5">
              <w:rPr>
                <w:rFonts w:ascii="Lato" w:eastAsia="Lato" w:hAnsi="Lato" w:cs="Lato"/>
                <w:sz w:val="22"/>
              </w:rPr>
              <w:t>The final count of HHs was 236, 24 below the target due to the real number enounter of all displaced people at each site, adjusting for population changes to reduce conflict risks.</w:t>
            </w:r>
          </w:p>
          <w:p w14:paraId="5EAA405E" w14:textId="671E9659" w:rsidR="7DA89621" w:rsidRDefault="7DA89621" w:rsidP="7DA89621">
            <w:pPr>
              <w:jc w:val="left"/>
              <w:rPr>
                <w:rFonts w:ascii="Lato" w:eastAsia="Lato" w:hAnsi="Lato" w:cs="Lato"/>
                <w:sz w:val="22"/>
              </w:rPr>
            </w:pPr>
          </w:p>
        </w:tc>
        <w:tc>
          <w:tcPr>
            <w:tcW w:w="1260" w:type="dxa"/>
            <w:vMerge w:val="restart"/>
            <w:tcBorders>
              <w:top w:val="single" w:sz="4" w:space="0" w:color="auto"/>
              <w:left w:val="single" w:sz="4" w:space="0" w:color="auto"/>
              <w:bottom w:val="single" w:sz="4" w:space="0" w:color="auto"/>
              <w:right w:val="single" w:sz="4" w:space="0" w:color="auto"/>
            </w:tcBorders>
            <w:shd w:val="clear" w:color="auto" w:fill="DAF2D0"/>
            <w:tcMar>
              <w:left w:w="108" w:type="dxa"/>
              <w:right w:w="108" w:type="dxa"/>
            </w:tcMar>
            <w:vAlign w:val="center"/>
          </w:tcPr>
          <w:p w14:paraId="2A9E803A" w14:textId="67729595" w:rsidR="7DA89621" w:rsidRDefault="00803AA6" w:rsidP="7DA89621">
            <w:pPr>
              <w:jc w:val="left"/>
              <w:rPr>
                <w:rFonts w:ascii="Lato" w:eastAsia="Lato" w:hAnsi="Lato" w:cs="Lato"/>
                <w:sz w:val="22"/>
              </w:rPr>
            </w:pPr>
            <w:r>
              <w:rPr>
                <w:rFonts w:ascii="Lato" w:eastAsia="Lato" w:hAnsi="Lato" w:cs="Lato"/>
                <w:sz w:val="22"/>
              </w:rPr>
              <w:t>PDM</w:t>
            </w:r>
          </w:p>
        </w:tc>
      </w:tr>
      <w:tr w:rsidR="002463B5" w14:paraId="103DBB8A" w14:textId="77777777" w:rsidTr="00776E21">
        <w:trPr>
          <w:trHeight w:val="300"/>
        </w:trPr>
        <w:tc>
          <w:tcPr>
            <w:tcW w:w="983" w:type="dxa"/>
            <w:vMerge/>
            <w:tcBorders>
              <w:left w:val="single" w:sz="4" w:space="0" w:color="auto"/>
              <w:bottom w:val="single" w:sz="4" w:space="0" w:color="auto"/>
              <w:right w:val="single" w:sz="4" w:space="0" w:color="auto"/>
            </w:tcBorders>
            <w:textDirection w:val="btLr"/>
            <w:vAlign w:val="center"/>
          </w:tcPr>
          <w:p w14:paraId="4420488D" w14:textId="77777777" w:rsidR="00F46EA9" w:rsidRDefault="00F46EA9" w:rsidP="00CC315B">
            <w:pPr>
              <w:ind w:left="113" w:right="113"/>
            </w:pPr>
          </w:p>
        </w:tc>
        <w:tc>
          <w:tcPr>
            <w:tcW w:w="855" w:type="dxa"/>
            <w:vMerge/>
            <w:tcBorders>
              <w:top w:val="single" w:sz="8" w:space="0" w:color="000000" w:themeColor="text1"/>
              <w:left w:val="single" w:sz="4" w:space="0" w:color="auto"/>
              <w:bottom w:val="single" w:sz="4" w:space="0" w:color="auto"/>
              <w:right w:val="single" w:sz="4" w:space="0" w:color="auto"/>
            </w:tcBorders>
            <w:textDirection w:val="btLr"/>
            <w:vAlign w:val="center"/>
          </w:tcPr>
          <w:p w14:paraId="06F6106A" w14:textId="77777777" w:rsidR="00F46EA9" w:rsidRDefault="00F46EA9" w:rsidP="00CC315B">
            <w:pPr>
              <w:ind w:left="113" w:right="113"/>
            </w:pPr>
          </w:p>
        </w:tc>
        <w:tc>
          <w:tcPr>
            <w:tcW w:w="2835" w:type="dxa"/>
            <w:tcBorders>
              <w:top w:val="single" w:sz="8" w:space="0" w:color="auto"/>
              <w:left w:val="single" w:sz="4" w:space="0" w:color="auto"/>
              <w:bottom w:val="single" w:sz="8" w:space="0" w:color="auto"/>
              <w:right w:val="single" w:sz="8" w:space="0" w:color="auto"/>
            </w:tcBorders>
            <w:shd w:val="clear" w:color="auto" w:fill="DAF2D0"/>
            <w:tcMar>
              <w:left w:w="108" w:type="dxa"/>
              <w:right w:w="108" w:type="dxa"/>
            </w:tcMar>
          </w:tcPr>
          <w:p w14:paraId="711F3628" w14:textId="3C241659" w:rsidR="7DA89621" w:rsidRDefault="7DA89621" w:rsidP="7DA89621">
            <w:pPr>
              <w:jc w:val="left"/>
              <w:rPr>
                <w:rFonts w:ascii="Lato" w:eastAsia="Lato" w:hAnsi="Lato" w:cs="Lato"/>
                <w:color w:val="000000" w:themeColor="text1"/>
                <w:sz w:val="22"/>
              </w:rPr>
            </w:pPr>
            <w:r w:rsidRPr="7DA89621">
              <w:rPr>
                <w:rFonts w:ascii="Lato" w:eastAsia="Lato" w:hAnsi="Lato" w:cs="Lato"/>
                <w:color w:val="000000" w:themeColor="text1"/>
                <w:sz w:val="22"/>
              </w:rPr>
              <w:t>Number of people benefitting from conditional and unrestricted cash transfers</w:t>
            </w:r>
          </w:p>
        </w:tc>
        <w:tc>
          <w:tcPr>
            <w:tcW w:w="851" w:type="dxa"/>
            <w:tcBorders>
              <w:top w:val="single" w:sz="8" w:space="0" w:color="auto"/>
              <w:left w:val="single" w:sz="8" w:space="0" w:color="auto"/>
              <w:bottom w:val="single" w:sz="8" w:space="0" w:color="auto"/>
              <w:right w:val="single" w:sz="8" w:space="0" w:color="auto"/>
            </w:tcBorders>
            <w:shd w:val="clear" w:color="auto" w:fill="BDD2B4"/>
            <w:tcMar>
              <w:left w:w="108" w:type="dxa"/>
              <w:right w:w="108" w:type="dxa"/>
            </w:tcMar>
            <w:vAlign w:val="center"/>
          </w:tcPr>
          <w:p w14:paraId="18685DE5" w14:textId="3199971E" w:rsidR="7DA89621" w:rsidRDefault="7DA89621" w:rsidP="7DA89621">
            <w:pPr>
              <w:jc w:val="center"/>
              <w:rPr>
                <w:rFonts w:ascii="Lato" w:eastAsia="Lato" w:hAnsi="Lato" w:cs="Lato"/>
                <w:i/>
                <w:iCs/>
                <w:color w:val="000000" w:themeColor="text1"/>
                <w:sz w:val="22"/>
              </w:rPr>
            </w:pPr>
            <w:r w:rsidRPr="7DA89621">
              <w:rPr>
                <w:rFonts w:ascii="Lato" w:eastAsia="Lato" w:hAnsi="Lato" w:cs="Lato"/>
                <w:i/>
                <w:iCs/>
                <w:color w:val="000000" w:themeColor="text1"/>
                <w:sz w:val="22"/>
              </w:rPr>
              <w:t xml:space="preserve"> </w:t>
            </w:r>
          </w:p>
        </w:tc>
        <w:tc>
          <w:tcPr>
            <w:tcW w:w="1134" w:type="dxa"/>
            <w:tcBorders>
              <w:top w:val="single" w:sz="8" w:space="0" w:color="000000" w:themeColor="text1"/>
              <w:left w:val="single" w:sz="8" w:space="0" w:color="auto"/>
              <w:bottom w:val="single" w:sz="8" w:space="0" w:color="000000" w:themeColor="text1"/>
              <w:right w:val="single" w:sz="8" w:space="0" w:color="000000" w:themeColor="text1"/>
            </w:tcBorders>
            <w:shd w:val="clear" w:color="auto" w:fill="DAF2D0"/>
            <w:tcMar>
              <w:left w:w="108" w:type="dxa"/>
              <w:right w:w="108" w:type="dxa"/>
            </w:tcMar>
            <w:vAlign w:val="center"/>
          </w:tcPr>
          <w:p w14:paraId="1226AE29" w14:textId="1BFED1A9" w:rsidR="7DA89621" w:rsidRDefault="7DA89621" w:rsidP="7DA89621">
            <w:pPr>
              <w:rPr>
                <w:rFonts w:ascii="Lato" w:eastAsia="Lato" w:hAnsi="Lato" w:cs="Lato"/>
                <w:sz w:val="22"/>
              </w:rPr>
            </w:pPr>
            <w:r w:rsidRPr="7DA89621">
              <w:rPr>
                <w:rFonts w:ascii="Lato" w:eastAsia="Lato" w:hAnsi="Lato" w:cs="Lato"/>
                <w:sz w:val="22"/>
              </w:rPr>
              <w:t>1300</w:t>
            </w: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F2D0"/>
            <w:tcMar>
              <w:left w:w="108" w:type="dxa"/>
              <w:right w:w="108" w:type="dxa"/>
            </w:tcMar>
            <w:vAlign w:val="center"/>
          </w:tcPr>
          <w:p w14:paraId="6F5C3372" w14:textId="262983DE" w:rsidR="7DA89621" w:rsidRDefault="7DA89621" w:rsidP="7DA89621">
            <w:pPr>
              <w:rPr>
                <w:rFonts w:ascii="Lato" w:eastAsia="Lato" w:hAnsi="Lato" w:cs="Lato"/>
                <w:sz w:val="22"/>
              </w:rPr>
            </w:pPr>
            <w:r w:rsidRPr="7DA89621">
              <w:rPr>
                <w:rFonts w:ascii="Lato" w:eastAsia="Lato" w:hAnsi="Lato" w:cs="Lato"/>
                <w:sz w:val="22"/>
              </w:rPr>
              <w:t>1202</w:t>
            </w:r>
          </w:p>
        </w:tc>
        <w:tc>
          <w:tcPr>
            <w:tcW w:w="1985" w:type="dxa"/>
            <w:vMerge/>
            <w:tcBorders>
              <w:right w:val="single" w:sz="4" w:space="0" w:color="auto"/>
            </w:tcBorders>
            <w:vAlign w:val="center"/>
          </w:tcPr>
          <w:p w14:paraId="0B0FB3DA" w14:textId="77777777" w:rsidR="00F46EA9" w:rsidRDefault="00F46EA9"/>
        </w:tc>
        <w:tc>
          <w:tcPr>
            <w:tcW w:w="1260" w:type="dxa"/>
            <w:vMerge/>
            <w:tcBorders>
              <w:top w:val="single" w:sz="8" w:space="0" w:color="000000" w:themeColor="text1"/>
              <w:left w:val="single" w:sz="4" w:space="0" w:color="auto"/>
              <w:bottom w:val="single" w:sz="4" w:space="0" w:color="auto"/>
              <w:right w:val="single" w:sz="4" w:space="0" w:color="auto"/>
            </w:tcBorders>
            <w:vAlign w:val="center"/>
          </w:tcPr>
          <w:p w14:paraId="3707B58F" w14:textId="77777777" w:rsidR="00F46EA9" w:rsidRDefault="00F46EA9"/>
        </w:tc>
      </w:tr>
      <w:tr w:rsidR="005D4284" w14:paraId="6764C4A5" w14:textId="77777777" w:rsidTr="00776E21">
        <w:trPr>
          <w:trHeight w:val="2165"/>
        </w:trPr>
        <w:tc>
          <w:tcPr>
            <w:tcW w:w="983" w:type="dxa"/>
            <w:tcBorders>
              <w:top w:val="single" w:sz="4" w:space="0" w:color="auto"/>
              <w:left w:val="single" w:sz="4" w:space="0" w:color="auto"/>
              <w:bottom w:val="single" w:sz="4" w:space="0" w:color="auto"/>
              <w:right w:val="single" w:sz="4" w:space="0" w:color="auto"/>
            </w:tcBorders>
            <w:shd w:val="clear" w:color="auto" w:fill="7DB0E3"/>
            <w:tcMar>
              <w:left w:w="108" w:type="dxa"/>
              <w:right w:w="108" w:type="dxa"/>
            </w:tcMar>
            <w:textDirection w:val="btLr"/>
            <w:vAlign w:val="center"/>
          </w:tcPr>
          <w:p w14:paraId="62AEF2D0" w14:textId="5F08AD73" w:rsidR="005D4284" w:rsidRPr="7DA89621" w:rsidRDefault="005D4284" w:rsidP="005D4284">
            <w:pPr>
              <w:ind w:left="113" w:right="113"/>
              <w:jc w:val="center"/>
              <w:rPr>
                <w:rFonts w:ascii="Lato" w:eastAsia="Lato" w:hAnsi="Lato" w:cs="Lato"/>
                <w:b/>
                <w:bCs/>
                <w:color w:val="000000" w:themeColor="text1"/>
                <w:sz w:val="22"/>
              </w:rPr>
            </w:pPr>
            <w:r w:rsidRPr="7DA89621">
              <w:rPr>
                <w:rFonts w:ascii="Lato" w:eastAsia="Lato" w:hAnsi="Lato" w:cs="Lato"/>
                <w:b/>
                <w:bCs/>
                <w:color w:val="000000" w:themeColor="text1"/>
                <w:sz w:val="22"/>
              </w:rPr>
              <w:t>LOCALISATION (LOC)</w:t>
            </w:r>
          </w:p>
        </w:tc>
        <w:tc>
          <w:tcPr>
            <w:tcW w:w="855" w:type="dxa"/>
            <w:tcBorders>
              <w:top w:val="single" w:sz="4" w:space="0" w:color="auto"/>
              <w:left w:val="single" w:sz="4" w:space="0" w:color="auto"/>
              <w:bottom w:val="single" w:sz="4" w:space="0" w:color="auto"/>
              <w:right w:val="single" w:sz="4" w:space="0" w:color="auto"/>
            </w:tcBorders>
            <w:tcMar>
              <w:left w:w="108" w:type="dxa"/>
              <w:right w:w="108" w:type="dxa"/>
            </w:tcMar>
            <w:textDirection w:val="btLr"/>
            <w:vAlign w:val="center"/>
          </w:tcPr>
          <w:p w14:paraId="6CA6135D" w14:textId="6063A46E" w:rsidR="005D4284" w:rsidRPr="7DA89621" w:rsidRDefault="005D4284" w:rsidP="005D4284">
            <w:pPr>
              <w:ind w:left="113" w:right="113"/>
              <w:rPr>
                <w:rFonts w:ascii="Lato" w:eastAsia="Lato" w:hAnsi="Lato" w:cs="Lato"/>
                <w:b/>
                <w:bCs/>
                <w:color w:val="000000" w:themeColor="text1"/>
                <w:sz w:val="22"/>
              </w:rPr>
            </w:pPr>
            <w:r w:rsidRPr="7DA89621">
              <w:rPr>
                <w:rFonts w:ascii="Lato" w:eastAsia="Lato" w:hAnsi="Lato" w:cs="Lato"/>
                <w:b/>
                <w:bCs/>
                <w:color w:val="000000" w:themeColor="text1"/>
                <w:sz w:val="22"/>
              </w:rPr>
              <w:t xml:space="preserve"> Output(s</w:t>
            </w:r>
          </w:p>
        </w:tc>
        <w:tc>
          <w:tcPr>
            <w:tcW w:w="2835" w:type="dxa"/>
            <w:tcBorders>
              <w:top w:val="single" w:sz="8" w:space="0" w:color="auto"/>
              <w:left w:val="single" w:sz="4" w:space="0" w:color="auto"/>
              <w:bottom w:val="single" w:sz="8" w:space="0" w:color="auto"/>
              <w:right w:val="single" w:sz="8" w:space="0" w:color="auto"/>
            </w:tcBorders>
            <w:shd w:val="clear" w:color="auto" w:fill="7DB0E3"/>
            <w:tcMar>
              <w:left w:w="108" w:type="dxa"/>
              <w:right w:w="108" w:type="dxa"/>
            </w:tcMar>
          </w:tcPr>
          <w:p w14:paraId="3A41D604" w14:textId="2636E99D" w:rsidR="005D4284" w:rsidRPr="005D4284" w:rsidRDefault="005D4284" w:rsidP="005D4284">
            <w:pPr>
              <w:jc w:val="left"/>
              <w:rPr>
                <w:rFonts w:ascii="Lato" w:eastAsia="Lato" w:hAnsi="Lato" w:cs="Lato"/>
                <w:sz w:val="22"/>
              </w:rPr>
            </w:pPr>
            <w:r w:rsidRPr="005D4284">
              <w:rPr>
                <w:rFonts w:ascii="Lato" w:eastAsia="Lato" w:hAnsi="Lato" w:cs="Lato"/>
                <w:sz w:val="22"/>
              </w:rPr>
              <w:t>Number of national and local actors supported with capacity strengthening</w:t>
            </w:r>
          </w:p>
        </w:tc>
        <w:tc>
          <w:tcPr>
            <w:tcW w:w="851" w:type="dxa"/>
            <w:tcBorders>
              <w:top w:val="single" w:sz="8" w:space="0" w:color="auto"/>
              <w:left w:val="single" w:sz="8" w:space="0" w:color="auto"/>
              <w:bottom w:val="single" w:sz="8" w:space="0" w:color="auto"/>
              <w:right w:val="single" w:sz="8" w:space="0" w:color="auto"/>
            </w:tcBorders>
            <w:shd w:val="clear" w:color="auto" w:fill="6C98C5"/>
            <w:tcMar>
              <w:left w:w="108" w:type="dxa"/>
              <w:right w:w="108" w:type="dxa"/>
            </w:tcMar>
            <w:vAlign w:val="center"/>
          </w:tcPr>
          <w:p w14:paraId="0ABC1B6B" w14:textId="77777777" w:rsidR="005D4284" w:rsidRPr="005D4284" w:rsidRDefault="005D4284" w:rsidP="005D4284">
            <w:pPr>
              <w:jc w:val="center"/>
              <w:rPr>
                <w:rFonts w:ascii="Lato" w:eastAsia="Lato" w:hAnsi="Lato" w:cs="Lato"/>
                <w:sz w:val="22"/>
              </w:rPr>
            </w:pPr>
          </w:p>
        </w:tc>
        <w:tc>
          <w:tcPr>
            <w:tcW w:w="1134" w:type="dxa"/>
            <w:tcBorders>
              <w:top w:val="single" w:sz="8" w:space="0" w:color="000000" w:themeColor="text1"/>
              <w:left w:val="single" w:sz="8" w:space="0" w:color="auto"/>
              <w:bottom w:val="single" w:sz="8" w:space="0" w:color="000000" w:themeColor="text1"/>
              <w:right w:val="single" w:sz="8" w:space="0" w:color="000000" w:themeColor="text1"/>
            </w:tcBorders>
            <w:shd w:val="clear" w:color="auto" w:fill="7DB0E3"/>
            <w:tcMar>
              <w:left w:w="108" w:type="dxa"/>
              <w:right w:w="108" w:type="dxa"/>
            </w:tcMar>
            <w:vAlign w:val="center"/>
          </w:tcPr>
          <w:p w14:paraId="6D7481AE" w14:textId="3E155B3C" w:rsidR="005D4284" w:rsidRPr="7DA89621" w:rsidRDefault="005D4284" w:rsidP="005D4284">
            <w:pPr>
              <w:rPr>
                <w:rFonts w:ascii="Lato" w:eastAsia="Lato" w:hAnsi="Lato" w:cs="Lato"/>
                <w:sz w:val="22"/>
              </w:rPr>
            </w:pPr>
            <w:r w:rsidRPr="7DA89621">
              <w:rPr>
                <w:rFonts w:ascii="Lato" w:eastAsia="Lato" w:hAnsi="Lato" w:cs="Lato"/>
                <w:sz w:val="22"/>
              </w:rPr>
              <w:t>45</w:t>
            </w: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DB0E3"/>
            <w:tcMar>
              <w:left w:w="108" w:type="dxa"/>
              <w:right w:w="108" w:type="dxa"/>
            </w:tcMar>
            <w:vAlign w:val="center"/>
          </w:tcPr>
          <w:p w14:paraId="299FD7B0" w14:textId="4C042247" w:rsidR="005D4284" w:rsidRPr="005D4284" w:rsidRDefault="1ADC69CA" w:rsidP="4CA2BE91">
            <w:pPr>
              <w:rPr>
                <w:rFonts w:ascii="Lato" w:eastAsia="Lato" w:hAnsi="Lato" w:cs="Lato"/>
                <w:sz w:val="22"/>
              </w:rPr>
            </w:pPr>
            <w:r w:rsidRPr="4CA2BE91">
              <w:rPr>
                <w:rFonts w:ascii="Lato" w:eastAsia="Lato" w:hAnsi="Lato" w:cs="Lato"/>
                <w:sz w:val="22"/>
              </w:rPr>
              <w:t>6</w:t>
            </w:r>
            <w:r w:rsidR="1E338718" w:rsidRPr="4CA2BE91">
              <w:rPr>
                <w:rFonts w:ascii="Lato" w:eastAsia="Lato" w:hAnsi="Lato" w:cs="Lato"/>
                <w:sz w:val="22"/>
              </w:rPr>
              <w:t>7</w:t>
            </w:r>
          </w:p>
        </w:tc>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DB0E3"/>
            <w:tcMar>
              <w:left w:w="108" w:type="dxa"/>
              <w:right w:w="108" w:type="dxa"/>
            </w:tcMar>
            <w:vAlign w:val="center"/>
          </w:tcPr>
          <w:p w14:paraId="74224EEE" w14:textId="77777777" w:rsidR="005D4284" w:rsidRPr="005D4284" w:rsidRDefault="005D4284" w:rsidP="005D4284">
            <w:pPr>
              <w:rPr>
                <w:rFonts w:ascii="Lato" w:eastAsia="Lato" w:hAnsi="Lato" w:cs="Lato"/>
                <w:sz w:val="22"/>
              </w:rPr>
            </w:pPr>
          </w:p>
        </w:tc>
        <w:tc>
          <w:tcPr>
            <w:tcW w:w="1260" w:type="dxa"/>
            <w:tcBorders>
              <w:top w:val="single" w:sz="4" w:space="0" w:color="auto"/>
              <w:left w:val="single" w:sz="8" w:space="0" w:color="000000" w:themeColor="text1"/>
              <w:bottom w:val="single" w:sz="8" w:space="0" w:color="000000" w:themeColor="text1"/>
              <w:right w:val="single" w:sz="4" w:space="0" w:color="auto"/>
            </w:tcBorders>
            <w:shd w:val="clear" w:color="auto" w:fill="7DB0E3"/>
            <w:tcMar>
              <w:left w:w="108" w:type="dxa"/>
              <w:right w:w="108" w:type="dxa"/>
            </w:tcMar>
            <w:vAlign w:val="center"/>
          </w:tcPr>
          <w:p w14:paraId="633AF20D" w14:textId="77777777" w:rsidR="005D4284" w:rsidRPr="005D4284" w:rsidRDefault="005D4284" w:rsidP="005D4284">
            <w:pPr>
              <w:rPr>
                <w:rFonts w:ascii="Lato" w:eastAsia="Lato" w:hAnsi="Lato" w:cs="Lato"/>
                <w:sz w:val="22"/>
              </w:rPr>
            </w:pPr>
          </w:p>
        </w:tc>
      </w:tr>
      <w:tr w:rsidR="002463B5" w14:paraId="57C44C27" w14:textId="77777777" w:rsidTr="00776E21">
        <w:trPr>
          <w:trHeight w:val="300"/>
        </w:trPr>
        <w:tc>
          <w:tcPr>
            <w:tcW w:w="983" w:type="dxa"/>
            <w:vMerge w:val="restart"/>
            <w:tcBorders>
              <w:top w:val="single" w:sz="4" w:space="0" w:color="auto"/>
              <w:left w:val="single" w:sz="4" w:space="0" w:color="auto"/>
              <w:bottom w:val="single" w:sz="4" w:space="0" w:color="auto"/>
              <w:right w:val="single" w:sz="4" w:space="0" w:color="auto"/>
            </w:tcBorders>
            <w:shd w:val="clear" w:color="auto" w:fill="7DB0E3"/>
            <w:tcMar>
              <w:left w:w="108" w:type="dxa"/>
              <w:right w:w="108" w:type="dxa"/>
            </w:tcMar>
            <w:textDirection w:val="btLr"/>
            <w:vAlign w:val="center"/>
          </w:tcPr>
          <w:p w14:paraId="11C58EC8" w14:textId="480DBB6C" w:rsidR="7DA89621" w:rsidRDefault="7DA89621" w:rsidP="005D4284">
            <w:pPr>
              <w:ind w:left="113" w:right="113"/>
              <w:jc w:val="center"/>
              <w:rPr>
                <w:rFonts w:ascii="Lato" w:eastAsia="Lato" w:hAnsi="Lato" w:cs="Lato"/>
                <w:b/>
                <w:bCs/>
                <w:color w:val="000000" w:themeColor="text1"/>
                <w:sz w:val="22"/>
              </w:rPr>
            </w:pPr>
            <w:r w:rsidRPr="7DA89621">
              <w:rPr>
                <w:rFonts w:ascii="Lato" w:eastAsia="Lato" w:hAnsi="Lato" w:cs="Lato"/>
                <w:b/>
                <w:bCs/>
                <w:color w:val="000000" w:themeColor="text1"/>
                <w:sz w:val="22"/>
              </w:rPr>
              <w:t>ACCOUNTABILITY (ACC)</w:t>
            </w:r>
          </w:p>
        </w:tc>
        <w:tc>
          <w:tcPr>
            <w:tcW w:w="855" w:type="dxa"/>
            <w:vMerge w:val="restart"/>
            <w:tcBorders>
              <w:top w:val="single" w:sz="4" w:space="0" w:color="auto"/>
              <w:left w:val="single" w:sz="4" w:space="0" w:color="auto"/>
              <w:bottom w:val="single" w:sz="4" w:space="0" w:color="auto"/>
              <w:right w:val="single" w:sz="4" w:space="0" w:color="auto"/>
            </w:tcBorders>
            <w:tcMar>
              <w:left w:w="108" w:type="dxa"/>
              <w:right w:w="108" w:type="dxa"/>
            </w:tcMar>
            <w:textDirection w:val="btLr"/>
            <w:vAlign w:val="center"/>
          </w:tcPr>
          <w:p w14:paraId="7FEC5735" w14:textId="12C311EA" w:rsidR="7DA89621" w:rsidRDefault="7DA89621" w:rsidP="005D4284">
            <w:pPr>
              <w:ind w:left="113" w:right="113"/>
              <w:rPr>
                <w:rFonts w:ascii="Lato" w:eastAsia="Lato" w:hAnsi="Lato" w:cs="Lato"/>
                <w:b/>
                <w:bCs/>
                <w:color w:val="000000" w:themeColor="text1"/>
                <w:sz w:val="22"/>
              </w:rPr>
            </w:pPr>
            <w:r w:rsidRPr="7DA89621">
              <w:rPr>
                <w:rFonts w:ascii="Lato" w:eastAsia="Lato" w:hAnsi="Lato" w:cs="Lato"/>
                <w:b/>
                <w:bCs/>
                <w:color w:val="000000" w:themeColor="text1"/>
                <w:sz w:val="22"/>
              </w:rPr>
              <w:t xml:space="preserve"> Outcome(s)</w:t>
            </w:r>
          </w:p>
          <w:p w14:paraId="3FAA81E0" w14:textId="4EDD3215" w:rsidR="7DA89621" w:rsidRDefault="7DA89621" w:rsidP="005D4284">
            <w:pPr>
              <w:ind w:left="113" w:right="113"/>
              <w:rPr>
                <w:rFonts w:ascii="Lato" w:eastAsia="Lato" w:hAnsi="Lato" w:cs="Lato"/>
                <w:b/>
                <w:bCs/>
                <w:color w:val="000000" w:themeColor="text1"/>
                <w:sz w:val="22"/>
                <w:lang w:val="fr"/>
              </w:rPr>
            </w:pPr>
            <w:r w:rsidRPr="7DA89621">
              <w:rPr>
                <w:rFonts w:ascii="Lato" w:eastAsia="Lato" w:hAnsi="Lato" w:cs="Lato"/>
                <w:b/>
                <w:bCs/>
                <w:color w:val="000000" w:themeColor="text1"/>
                <w:sz w:val="22"/>
                <w:lang w:val="fr"/>
              </w:rPr>
              <w:t xml:space="preserve"> </w:t>
            </w:r>
          </w:p>
        </w:tc>
        <w:tc>
          <w:tcPr>
            <w:tcW w:w="2835" w:type="dxa"/>
            <w:tcBorders>
              <w:top w:val="single" w:sz="8" w:space="0" w:color="auto"/>
              <w:left w:val="single" w:sz="4" w:space="0" w:color="auto"/>
              <w:bottom w:val="single" w:sz="8" w:space="0" w:color="auto"/>
              <w:right w:val="single" w:sz="8" w:space="0" w:color="auto"/>
            </w:tcBorders>
            <w:shd w:val="clear" w:color="auto" w:fill="7DB0E3"/>
            <w:tcMar>
              <w:left w:w="108" w:type="dxa"/>
              <w:right w:w="108" w:type="dxa"/>
            </w:tcMar>
          </w:tcPr>
          <w:p w14:paraId="2BFFEC03" w14:textId="39726A4A" w:rsidR="7DA89621" w:rsidRDefault="7DA89621" w:rsidP="7DA89621">
            <w:pPr>
              <w:jc w:val="left"/>
              <w:rPr>
                <w:rFonts w:ascii="Lato" w:eastAsia="Lato" w:hAnsi="Lato" w:cs="Lato"/>
                <w:b/>
                <w:bCs/>
                <w:color w:val="000000" w:themeColor="text1"/>
                <w:sz w:val="22"/>
              </w:rPr>
            </w:pPr>
            <w:r w:rsidRPr="7DA89621">
              <w:rPr>
                <w:rFonts w:ascii="Lato" w:eastAsia="Lato" w:hAnsi="Lato" w:cs="Lato"/>
                <w:b/>
                <w:bCs/>
                <w:color w:val="000000" w:themeColor="text1"/>
                <w:sz w:val="22"/>
              </w:rPr>
              <w:t>% of beneficiaries reporting that humanitarian assistance is delivered in a safe, accessible, accountable, and participatory manner</w:t>
            </w:r>
          </w:p>
        </w:tc>
        <w:tc>
          <w:tcPr>
            <w:tcW w:w="851" w:type="dxa"/>
            <w:tcBorders>
              <w:top w:val="single" w:sz="8" w:space="0" w:color="auto"/>
              <w:left w:val="single" w:sz="8" w:space="0" w:color="auto"/>
              <w:bottom w:val="single" w:sz="8" w:space="0" w:color="auto"/>
              <w:right w:val="single" w:sz="8" w:space="0" w:color="auto"/>
            </w:tcBorders>
            <w:shd w:val="clear" w:color="auto" w:fill="6C98C5"/>
            <w:tcMar>
              <w:left w:w="108" w:type="dxa"/>
              <w:right w:w="108" w:type="dxa"/>
            </w:tcMar>
            <w:vAlign w:val="center"/>
          </w:tcPr>
          <w:p w14:paraId="44FD2566" w14:textId="3B6C097D" w:rsidR="7DA89621" w:rsidRDefault="7DA89621" w:rsidP="7DA89621">
            <w:pPr>
              <w:jc w:val="center"/>
              <w:rPr>
                <w:rFonts w:ascii="Lato" w:eastAsia="Lato" w:hAnsi="Lato" w:cs="Lato"/>
                <w:i/>
                <w:iCs/>
                <w:color w:val="000000" w:themeColor="text1"/>
                <w:sz w:val="22"/>
              </w:rPr>
            </w:pPr>
            <w:r w:rsidRPr="7DA89621">
              <w:rPr>
                <w:rFonts w:ascii="Lato" w:eastAsia="Lato" w:hAnsi="Lato" w:cs="Lato"/>
                <w:i/>
                <w:iCs/>
                <w:color w:val="000000" w:themeColor="text1"/>
                <w:sz w:val="22"/>
              </w:rPr>
              <w:t xml:space="preserve"> </w:t>
            </w:r>
          </w:p>
        </w:tc>
        <w:tc>
          <w:tcPr>
            <w:tcW w:w="1134" w:type="dxa"/>
            <w:tcBorders>
              <w:top w:val="single" w:sz="8" w:space="0" w:color="000000" w:themeColor="text1"/>
              <w:left w:val="single" w:sz="8" w:space="0" w:color="auto"/>
              <w:bottom w:val="single" w:sz="8" w:space="0" w:color="000000" w:themeColor="text1"/>
              <w:right w:val="single" w:sz="8" w:space="0" w:color="000000" w:themeColor="text1"/>
            </w:tcBorders>
            <w:shd w:val="clear" w:color="auto" w:fill="7DB0E3"/>
            <w:tcMar>
              <w:left w:w="108" w:type="dxa"/>
              <w:right w:w="108" w:type="dxa"/>
            </w:tcMar>
            <w:vAlign w:val="center"/>
          </w:tcPr>
          <w:p w14:paraId="6A88986B" w14:textId="0ED10942" w:rsidR="7DA89621" w:rsidRDefault="7DA89621" w:rsidP="7DA89621">
            <w:pPr>
              <w:rPr>
                <w:rFonts w:ascii="Lato" w:eastAsia="Lato" w:hAnsi="Lato" w:cs="Lato"/>
                <w:sz w:val="22"/>
              </w:rPr>
            </w:pPr>
            <w:r w:rsidRPr="7DA89621">
              <w:rPr>
                <w:rFonts w:ascii="Lato" w:eastAsia="Lato" w:hAnsi="Lato" w:cs="Lato"/>
                <w:sz w:val="22"/>
              </w:rPr>
              <w:t xml:space="preserve"> </w:t>
            </w: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DB0E3"/>
            <w:tcMar>
              <w:left w:w="108" w:type="dxa"/>
              <w:right w:w="108" w:type="dxa"/>
            </w:tcMar>
            <w:vAlign w:val="center"/>
          </w:tcPr>
          <w:p w14:paraId="03F001BE" w14:textId="7C122060" w:rsidR="7DA89621" w:rsidRDefault="7DA89621" w:rsidP="7DA89621">
            <w:pPr>
              <w:rPr>
                <w:rFonts w:ascii="Lato" w:eastAsia="Lato" w:hAnsi="Lato" w:cs="Lato"/>
                <w:sz w:val="22"/>
                <w:lang w:val="fr-FR"/>
              </w:rPr>
            </w:pPr>
            <w:r w:rsidRPr="7DA89621">
              <w:rPr>
                <w:rFonts w:ascii="Lato" w:eastAsia="Lato" w:hAnsi="Lato" w:cs="Lato"/>
                <w:b/>
                <w:bCs/>
                <w:sz w:val="22"/>
                <w:lang w:val="fr-FR"/>
              </w:rPr>
              <w:t>Ecole Nationale Republique de Colombie :</w:t>
            </w:r>
            <w:r w:rsidRPr="7DA89621">
              <w:rPr>
                <w:rFonts w:ascii="Lato" w:eastAsia="Lato" w:hAnsi="Lato" w:cs="Lato"/>
                <w:sz w:val="22"/>
                <w:lang w:val="fr-FR"/>
              </w:rPr>
              <w:t xml:space="preserve"> 74%                                                                                         </w:t>
            </w:r>
            <w:r w:rsidRPr="7DA89621">
              <w:rPr>
                <w:rFonts w:ascii="Lato" w:eastAsia="Lato" w:hAnsi="Lato" w:cs="Lato"/>
                <w:b/>
                <w:bCs/>
                <w:sz w:val="22"/>
                <w:lang w:val="fr-FR"/>
              </w:rPr>
              <w:t>Ecole Nationale Joseph Bernard de Frere :</w:t>
            </w:r>
            <w:r w:rsidRPr="7DA89621">
              <w:rPr>
                <w:rFonts w:ascii="Lato" w:eastAsia="Lato" w:hAnsi="Lato" w:cs="Lato"/>
                <w:sz w:val="22"/>
                <w:lang w:val="fr-FR"/>
              </w:rPr>
              <w:t xml:space="preserve"> 82%</w:t>
            </w:r>
          </w:p>
        </w:tc>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DB0E3"/>
            <w:tcMar>
              <w:left w:w="108" w:type="dxa"/>
              <w:right w:w="108" w:type="dxa"/>
            </w:tcMar>
            <w:vAlign w:val="center"/>
          </w:tcPr>
          <w:p w14:paraId="23499B19" w14:textId="2FF6EF64" w:rsidR="7DA89621" w:rsidRDefault="7DA89621" w:rsidP="7DA89621">
            <w:pPr>
              <w:rPr>
                <w:rFonts w:ascii="Lato" w:eastAsia="Lato" w:hAnsi="Lato" w:cs="Lato"/>
                <w:sz w:val="22"/>
                <w:lang w:val="fr"/>
              </w:rPr>
            </w:pPr>
            <w:r w:rsidRPr="7DA89621">
              <w:rPr>
                <w:rFonts w:ascii="Lato" w:eastAsia="Lato" w:hAnsi="Lato" w:cs="Lato"/>
                <w:sz w:val="22"/>
                <w:lang w:val="fr"/>
              </w:rPr>
              <w:t xml:space="preserve"> </w:t>
            </w:r>
          </w:p>
        </w:tc>
        <w:tc>
          <w:tcPr>
            <w:tcW w:w="1260"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7DB0E3"/>
            <w:tcMar>
              <w:left w:w="108" w:type="dxa"/>
              <w:right w:w="108" w:type="dxa"/>
            </w:tcMar>
            <w:vAlign w:val="center"/>
          </w:tcPr>
          <w:p w14:paraId="5690EA57" w14:textId="198D12D2" w:rsidR="7DA89621" w:rsidRDefault="7DA89621" w:rsidP="7DA89621">
            <w:pPr>
              <w:rPr>
                <w:rFonts w:ascii="Lato" w:eastAsia="Lato" w:hAnsi="Lato" w:cs="Lato"/>
                <w:sz w:val="22"/>
              </w:rPr>
            </w:pPr>
            <w:r w:rsidRPr="7DA89621">
              <w:rPr>
                <w:rFonts w:ascii="Lato" w:eastAsia="Lato" w:hAnsi="Lato" w:cs="Lato"/>
                <w:sz w:val="22"/>
                <w:lang w:val="fr"/>
              </w:rPr>
              <w:t xml:space="preserve"> </w:t>
            </w:r>
            <w:r w:rsidR="005D4284">
              <w:rPr>
                <w:rFonts w:ascii="Lato" w:eastAsia="Lato" w:hAnsi="Lato" w:cs="Lato"/>
                <w:sz w:val="22"/>
              </w:rPr>
              <w:t>PDM</w:t>
            </w:r>
          </w:p>
        </w:tc>
      </w:tr>
      <w:tr w:rsidR="003568EF" w14:paraId="38338060" w14:textId="77777777" w:rsidTr="00776E21">
        <w:trPr>
          <w:trHeight w:val="300"/>
        </w:trPr>
        <w:tc>
          <w:tcPr>
            <w:tcW w:w="983" w:type="dxa"/>
            <w:vMerge/>
            <w:tcBorders>
              <w:left w:val="single" w:sz="4" w:space="0" w:color="auto"/>
              <w:bottom w:val="single" w:sz="4" w:space="0" w:color="auto"/>
              <w:right w:val="single" w:sz="4" w:space="0" w:color="auto"/>
            </w:tcBorders>
            <w:vAlign w:val="center"/>
          </w:tcPr>
          <w:p w14:paraId="037F6EB5" w14:textId="77777777" w:rsidR="00F46EA9" w:rsidRDefault="00F46EA9"/>
        </w:tc>
        <w:tc>
          <w:tcPr>
            <w:tcW w:w="855" w:type="dxa"/>
            <w:vMerge/>
            <w:tcBorders>
              <w:top w:val="single" w:sz="8" w:space="0" w:color="000000" w:themeColor="text1"/>
              <w:left w:val="single" w:sz="4" w:space="0" w:color="auto"/>
              <w:bottom w:val="single" w:sz="4" w:space="0" w:color="auto"/>
              <w:right w:val="single" w:sz="4" w:space="0" w:color="auto"/>
            </w:tcBorders>
            <w:textDirection w:val="btLr"/>
            <w:vAlign w:val="center"/>
          </w:tcPr>
          <w:p w14:paraId="1916DD16" w14:textId="77777777" w:rsidR="00F46EA9" w:rsidRDefault="00F46EA9" w:rsidP="005D4284">
            <w:pPr>
              <w:ind w:left="113" w:right="113"/>
            </w:pPr>
          </w:p>
        </w:tc>
        <w:tc>
          <w:tcPr>
            <w:tcW w:w="2835" w:type="dxa"/>
            <w:tcBorders>
              <w:top w:val="single" w:sz="8" w:space="0" w:color="auto"/>
              <w:left w:val="single" w:sz="4" w:space="0" w:color="auto"/>
              <w:bottom w:val="single" w:sz="8" w:space="0" w:color="auto"/>
              <w:right w:val="single" w:sz="8" w:space="0" w:color="auto"/>
            </w:tcBorders>
            <w:shd w:val="clear" w:color="auto" w:fill="7DB0E3"/>
            <w:tcMar>
              <w:left w:w="108" w:type="dxa"/>
              <w:right w:w="108" w:type="dxa"/>
            </w:tcMar>
          </w:tcPr>
          <w:p w14:paraId="0F63BE4A" w14:textId="497F0C6E" w:rsidR="7DA89621" w:rsidRDefault="7DA89621" w:rsidP="7DA89621">
            <w:pPr>
              <w:jc w:val="left"/>
              <w:rPr>
                <w:rFonts w:ascii="Lato" w:eastAsia="Lato" w:hAnsi="Lato" w:cs="Lato"/>
                <w:b/>
                <w:bCs/>
                <w:color w:val="000000" w:themeColor="text1"/>
                <w:sz w:val="22"/>
              </w:rPr>
            </w:pPr>
            <w:r w:rsidRPr="7DA89621">
              <w:rPr>
                <w:rFonts w:ascii="Lato" w:eastAsia="Lato" w:hAnsi="Lato" w:cs="Lato"/>
                <w:b/>
                <w:bCs/>
                <w:color w:val="000000" w:themeColor="text1"/>
                <w:sz w:val="22"/>
              </w:rPr>
              <w:t xml:space="preserve">% affected people report being actively involved in different phased of the response (for example, participation in needs </w:t>
            </w:r>
            <w:r w:rsidRPr="7DA89621">
              <w:rPr>
                <w:rFonts w:ascii="Lato" w:eastAsia="Lato" w:hAnsi="Lato" w:cs="Lato"/>
                <w:b/>
                <w:bCs/>
                <w:color w:val="000000" w:themeColor="text1"/>
                <w:sz w:val="22"/>
              </w:rPr>
              <w:lastRenderedPageBreak/>
              <w:t>assessment, programme design, implementation and M&amp;E activities)</w:t>
            </w:r>
          </w:p>
        </w:tc>
        <w:tc>
          <w:tcPr>
            <w:tcW w:w="851" w:type="dxa"/>
            <w:tcBorders>
              <w:top w:val="single" w:sz="8" w:space="0" w:color="auto"/>
              <w:left w:val="single" w:sz="8" w:space="0" w:color="auto"/>
              <w:bottom w:val="single" w:sz="8" w:space="0" w:color="auto"/>
              <w:right w:val="single" w:sz="8" w:space="0" w:color="auto"/>
            </w:tcBorders>
            <w:shd w:val="clear" w:color="auto" w:fill="6C98C5"/>
            <w:tcMar>
              <w:left w:w="108" w:type="dxa"/>
              <w:right w:w="108" w:type="dxa"/>
            </w:tcMar>
            <w:vAlign w:val="center"/>
          </w:tcPr>
          <w:p w14:paraId="735F08B0" w14:textId="0CACFE3D" w:rsidR="7DA89621" w:rsidRDefault="7DA89621" w:rsidP="7DA89621">
            <w:pPr>
              <w:jc w:val="center"/>
              <w:rPr>
                <w:rFonts w:ascii="Lato" w:eastAsia="Lato" w:hAnsi="Lato" w:cs="Lato"/>
                <w:i/>
                <w:iCs/>
                <w:color w:val="000000" w:themeColor="text1"/>
                <w:sz w:val="22"/>
              </w:rPr>
            </w:pPr>
            <w:r w:rsidRPr="7DA89621">
              <w:rPr>
                <w:rFonts w:ascii="Lato" w:eastAsia="Lato" w:hAnsi="Lato" w:cs="Lato"/>
                <w:i/>
                <w:iCs/>
                <w:color w:val="000000" w:themeColor="text1"/>
                <w:sz w:val="22"/>
              </w:rPr>
              <w:lastRenderedPageBreak/>
              <w:t xml:space="preserve"> </w:t>
            </w:r>
          </w:p>
        </w:tc>
        <w:tc>
          <w:tcPr>
            <w:tcW w:w="1134" w:type="dxa"/>
            <w:tcBorders>
              <w:top w:val="single" w:sz="8" w:space="0" w:color="000000" w:themeColor="text1"/>
              <w:left w:val="single" w:sz="8" w:space="0" w:color="auto"/>
              <w:bottom w:val="single" w:sz="8" w:space="0" w:color="000000" w:themeColor="text1"/>
              <w:right w:val="single" w:sz="8" w:space="0" w:color="000000" w:themeColor="text1"/>
            </w:tcBorders>
            <w:shd w:val="clear" w:color="auto" w:fill="7DB0E3"/>
            <w:tcMar>
              <w:left w:w="108" w:type="dxa"/>
              <w:right w:w="108" w:type="dxa"/>
            </w:tcMar>
            <w:vAlign w:val="center"/>
          </w:tcPr>
          <w:p w14:paraId="10CF17E9" w14:textId="21804794" w:rsidR="7DA89621" w:rsidRDefault="7DA89621" w:rsidP="7DA89621">
            <w:pPr>
              <w:rPr>
                <w:rFonts w:ascii="Lato" w:eastAsia="Lato" w:hAnsi="Lato" w:cs="Lato"/>
                <w:sz w:val="22"/>
              </w:rPr>
            </w:pPr>
            <w:r w:rsidRPr="7DA89621">
              <w:rPr>
                <w:rFonts w:ascii="Lato" w:eastAsia="Lato" w:hAnsi="Lato" w:cs="Lato"/>
                <w:sz w:val="22"/>
              </w:rPr>
              <w:t xml:space="preserve"> </w:t>
            </w: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DB0E3"/>
            <w:tcMar>
              <w:left w:w="108" w:type="dxa"/>
              <w:right w:w="108" w:type="dxa"/>
            </w:tcMar>
            <w:vAlign w:val="center"/>
          </w:tcPr>
          <w:p w14:paraId="2AC36FD4" w14:textId="3E7A6411" w:rsidR="7DA89621" w:rsidRDefault="7DA89621" w:rsidP="7DA89621">
            <w:pPr>
              <w:rPr>
                <w:rFonts w:ascii="Lato" w:eastAsia="Lato" w:hAnsi="Lato" w:cs="Lato"/>
                <w:b/>
                <w:bCs/>
                <w:sz w:val="22"/>
              </w:rPr>
            </w:pPr>
            <w:r w:rsidRPr="7DA89621">
              <w:rPr>
                <w:rFonts w:ascii="Lato" w:eastAsia="Lato" w:hAnsi="Lato" w:cs="Lato"/>
                <w:b/>
                <w:bCs/>
                <w:sz w:val="22"/>
              </w:rPr>
              <w:t>73.2%</w:t>
            </w:r>
          </w:p>
        </w:tc>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DB0E3"/>
            <w:tcMar>
              <w:left w:w="108" w:type="dxa"/>
              <w:right w:w="108" w:type="dxa"/>
            </w:tcMar>
            <w:vAlign w:val="center"/>
          </w:tcPr>
          <w:p w14:paraId="58523022" w14:textId="6E9F75AC" w:rsidR="7DA89621" w:rsidRDefault="7DA89621" w:rsidP="7DA89621">
            <w:pPr>
              <w:rPr>
                <w:rFonts w:ascii="Lato" w:eastAsia="Lato" w:hAnsi="Lato" w:cs="Lato"/>
                <w:sz w:val="22"/>
              </w:rPr>
            </w:pPr>
            <w:r w:rsidRPr="7DA89621">
              <w:rPr>
                <w:rFonts w:ascii="Lato" w:eastAsia="Lato" w:hAnsi="Lato" w:cs="Lato"/>
                <w:sz w:val="22"/>
              </w:rPr>
              <w:t xml:space="preserve"> </w:t>
            </w:r>
          </w:p>
        </w:tc>
        <w:tc>
          <w:tcPr>
            <w:tcW w:w="1260"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7DB0E3"/>
            <w:tcMar>
              <w:left w:w="108" w:type="dxa"/>
              <w:right w:w="108" w:type="dxa"/>
            </w:tcMar>
            <w:vAlign w:val="center"/>
          </w:tcPr>
          <w:p w14:paraId="06096C63" w14:textId="06E44650" w:rsidR="7DA89621" w:rsidRDefault="005D4284" w:rsidP="7DA89621">
            <w:pPr>
              <w:rPr>
                <w:rFonts w:ascii="Lato" w:eastAsia="Lato" w:hAnsi="Lato" w:cs="Lato"/>
                <w:sz w:val="22"/>
              </w:rPr>
            </w:pPr>
            <w:r>
              <w:rPr>
                <w:rFonts w:ascii="Lato" w:eastAsia="Lato" w:hAnsi="Lato" w:cs="Lato"/>
                <w:sz w:val="22"/>
              </w:rPr>
              <w:t>PDM</w:t>
            </w:r>
            <w:r w:rsidR="7DA89621" w:rsidRPr="7DA89621">
              <w:rPr>
                <w:rFonts w:ascii="Lato" w:eastAsia="Lato" w:hAnsi="Lato" w:cs="Lato"/>
                <w:sz w:val="22"/>
              </w:rPr>
              <w:t>) and Education activities survey or report</w:t>
            </w:r>
          </w:p>
        </w:tc>
      </w:tr>
      <w:tr w:rsidR="002463B5" w14:paraId="195656EE" w14:textId="77777777" w:rsidTr="00776E21">
        <w:trPr>
          <w:trHeight w:val="300"/>
        </w:trPr>
        <w:tc>
          <w:tcPr>
            <w:tcW w:w="983" w:type="dxa"/>
            <w:vMerge/>
            <w:tcBorders>
              <w:left w:val="single" w:sz="4" w:space="0" w:color="auto"/>
              <w:bottom w:val="single" w:sz="4" w:space="0" w:color="auto"/>
              <w:right w:val="single" w:sz="4" w:space="0" w:color="auto"/>
            </w:tcBorders>
            <w:vAlign w:val="center"/>
          </w:tcPr>
          <w:p w14:paraId="6588D9EB" w14:textId="77777777" w:rsidR="00F46EA9" w:rsidRDefault="00F46EA9"/>
        </w:tc>
        <w:tc>
          <w:tcPr>
            <w:tcW w:w="855" w:type="dxa"/>
            <w:vMerge w:val="restart"/>
            <w:tcBorders>
              <w:top w:val="single" w:sz="4" w:space="0" w:color="auto"/>
              <w:left w:val="single" w:sz="4" w:space="0" w:color="auto"/>
              <w:bottom w:val="single" w:sz="4" w:space="0" w:color="auto"/>
              <w:right w:val="single" w:sz="4" w:space="0" w:color="auto"/>
            </w:tcBorders>
            <w:tcMar>
              <w:left w:w="108" w:type="dxa"/>
              <w:right w:w="108" w:type="dxa"/>
            </w:tcMar>
            <w:textDirection w:val="btLr"/>
            <w:vAlign w:val="center"/>
          </w:tcPr>
          <w:p w14:paraId="431EEE4F" w14:textId="79A79716" w:rsidR="7DA89621" w:rsidRDefault="7DA89621" w:rsidP="005D4284">
            <w:pPr>
              <w:ind w:left="113" w:right="113"/>
              <w:rPr>
                <w:rFonts w:ascii="Lato" w:eastAsia="Lato" w:hAnsi="Lato" w:cs="Lato"/>
                <w:b/>
                <w:bCs/>
                <w:color w:val="000000" w:themeColor="text1"/>
                <w:sz w:val="22"/>
              </w:rPr>
            </w:pPr>
            <w:r w:rsidRPr="7DA89621">
              <w:rPr>
                <w:rFonts w:ascii="Lato" w:eastAsia="Lato" w:hAnsi="Lato" w:cs="Lato"/>
                <w:b/>
                <w:bCs/>
                <w:color w:val="000000" w:themeColor="text1"/>
                <w:sz w:val="22"/>
              </w:rPr>
              <w:t xml:space="preserve"> Output(s) </w:t>
            </w:r>
          </w:p>
          <w:p w14:paraId="2A61E893" w14:textId="6FB0F365" w:rsidR="7DA89621" w:rsidRDefault="7DA89621" w:rsidP="005D4284">
            <w:pPr>
              <w:ind w:left="113" w:right="113"/>
              <w:rPr>
                <w:rFonts w:ascii="Lato" w:eastAsia="Lato" w:hAnsi="Lato" w:cs="Lato"/>
                <w:b/>
                <w:bCs/>
                <w:color w:val="000000" w:themeColor="text1"/>
                <w:sz w:val="22"/>
              </w:rPr>
            </w:pPr>
            <w:r w:rsidRPr="7DA89621">
              <w:rPr>
                <w:rFonts w:ascii="Lato" w:eastAsia="Lato" w:hAnsi="Lato" w:cs="Lato"/>
                <w:b/>
                <w:bCs/>
                <w:color w:val="000000" w:themeColor="text1"/>
                <w:sz w:val="22"/>
              </w:rPr>
              <w:t xml:space="preserve"> </w:t>
            </w:r>
          </w:p>
        </w:tc>
        <w:tc>
          <w:tcPr>
            <w:tcW w:w="2835" w:type="dxa"/>
            <w:tcBorders>
              <w:top w:val="single" w:sz="8" w:space="0" w:color="auto"/>
              <w:left w:val="single" w:sz="4" w:space="0" w:color="auto"/>
              <w:bottom w:val="single" w:sz="8" w:space="0" w:color="auto"/>
              <w:right w:val="single" w:sz="8" w:space="0" w:color="auto"/>
            </w:tcBorders>
            <w:shd w:val="clear" w:color="auto" w:fill="DAE9F8"/>
            <w:tcMar>
              <w:left w:w="108" w:type="dxa"/>
              <w:right w:w="108" w:type="dxa"/>
            </w:tcMar>
          </w:tcPr>
          <w:p w14:paraId="1FD80A7B" w14:textId="31E8A2B0" w:rsidR="7DA89621" w:rsidRDefault="7DA89621" w:rsidP="7DA89621">
            <w:pPr>
              <w:jc w:val="left"/>
              <w:rPr>
                <w:rFonts w:ascii="Lato" w:eastAsia="Lato" w:hAnsi="Lato" w:cs="Lato"/>
                <w:color w:val="000000" w:themeColor="text1"/>
                <w:sz w:val="22"/>
              </w:rPr>
            </w:pPr>
            <w:r w:rsidRPr="7DA89621">
              <w:rPr>
                <w:rFonts w:ascii="Lato" w:eastAsia="Lato" w:hAnsi="Lato" w:cs="Lato"/>
                <w:color w:val="000000" w:themeColor="text1"/>
                <w:sz w:val="22"/>
              </w:rPr>
              <w:t>Number of crisis-affected people who are also involved in the design, implementation, monitoring and/or evaluation of the programme</w:t>
            </w:r>
          </w:p>
        </w:tc>
        <w:tc>
          <w:tcPr>
            <w:tcW w:w="851" w:type="dxa"/>
            <w:tcBorders>
              <w:top w:val="single" w:sz="8" w:space="0" w:color="auto"/>
              <w:left w:val="single" w:sz="8" w:space="0" w:color="auto"/>
              <w:bottom w:val="single" w:sz="8" w:space="0" w:color="auto"/>
              <w:right w:val="single" w:sz="8" w:space="0" w:color="auto"/>
            </w:tcBorders>
            <w:shd w:val="clear" w:color="auto" w:fill="BDCAD7"/>
            <w:tcMar>
              <w:left w:w="108" w:type="dxa"/>
              <w:right w:w="108" w:type="dxa"/>
            </w:tcMar>
          </w:tcPr>
          <w:p w14:paraId="5068ACA8" w14:textId="0FE3208C" w:rsidR="7DA89621" w:rsidRDefault="7DA89621" w:rsidP="7DA89621">
            <w:pPr>
              <w:jc w:val="left"/>
              <w:rPr>
                <w:rFonts w:ascii="Lato" w:eastAsia="Lato" w:hAnsi="Lato" w:cs="Lato"/>
                <w:i/>
                <w:iCs/>
                <w:color w:val="000000" w:themeColor="text1"/>
                <w:sz w:val="22"/>
              </w:rPr>
            </w:pPr>
            <w:r w:rsidRPr="7DA89621">
              <w:rPr>
                <w:rFonts w:ascii="Lato" w:eastAsia="Lato" w:hAnsi="Lato" w:cs="Lato"/>
                <w:i/>
                <w:iCs/>
                <w:color w:val="000000" w:themeColor="text1"/>
                <w:sz w:val="22"/>
              </w:rPr>
              <w:t xml:space="preserve"> </w:t>
            </w:r>
          </w:p>
        </w:tc>
        <w:tc>
          <w:tcPr>
            <w:tcW w:w="1134" w:type="dxa"/>
            <w:tcBorders>
              <w:top w:val="single" w:sz="8" w:space="0" w:color="000000" w:themeColor="text1"/>
              <w:left w:val="single" w:sz="8" w:space="0" w:color="auto"/>
              <w:bottom w:val="single" w:sz="8" w:space="0" w:color="000000" w:themeColor="text1"/>
              <w:right w:val="single" w:sz="8" w:space="0" w:color="000000" w:themeColor="text1"/>
            </w:tcBorders>
            <w:shd w:val="clear" w:color="auto" w:fill="DAE9F8"/>
            <w:tcMar>
              <w:left w:w="108" w:type="dxa"/>
              <w:right w:w="108" w:type="dxa"/>
            </w:tcMar>
            <w:vAlign w:val="center"/>
          </w:tcPr>
          <w:p w14:paraId="484A6BB2" w14:textId="7DFE6578" w:rsidR="7DA89621" w:rsidRDefault="7DA89621" w:rsidP="7DA89621">
            <w:pPr>
              <w:rPr>
                <w:rFonts w:ascii="Lato" w:eastAsia="Lato" w:hAnsi="Lato" w:cs="Lato"/>
                <w:sz w:val="22"/>
              </w:rPr>
            </w:pPr>
            <w:r w:rsidRPr="7DA89621">
              <w:rPr>
                <w:rFonts w:ascii="Lato" w:eastAsia="Lato" w:hAnsi="Lato" w:cs="Lato"/>
                <w:sz w:val="22"/>
              </w:rPr>
              <w:t>1840</w:t>
            </w: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8"/>
            <w:tcMar>
              <w:left w:w="108" w:type="dxa"/>
              <w:right w:w="108" w:type="dxa"/>
            </w:tcMar>
            <w:vAlign w:val="center"/>
          </w:tcPr>
          <w:p w14:paraId="5B107CF8" w14:textId="7A534CFD" w:rsidR="7DA89621" w:rsidRDefault="7DA89621" w:rsidP="7DA89621">
            <w:pPr>
              <w:rPr>
                <w:rFonts w:ascii="Lato" w:eastAsia="Lato" w:hAnsi="Lato" w:cs="Lato"/>
                <w:sz w:val="22"/>
              </w:rPr>
            </w:pPr>
            <w:r w:rsidRPr="7DA89621">
              <w:rPr>
                <w:rFonts w:ascii="Lato" w:eastAsia="Lato" w:hAnsi="Lato" w:cs="Lato"/>
                <w:sz w:val="22"/>
              </w:rPr>
              <w:t>1742</w:t>
            </w:r>
          </w:p>
        </w:tc>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8"/>
            <w:tcMar>
              <w:left w:w="108" w:type="dxa"/>
              <w:right w:w="108" w:type="dxa"/>
            </w:tcMar>
            <w:vAlign w:val="center"/>
          </w:tcPr>
          <w:p w14:paraId="0196538C" w14:textId="6F96F6A2" w:rsidR="7DA89621" w:rsidRDefault="7DA89621" w:rsidP="7DA89621">
            <w:pPr>
              <w:rPr>
                <w:rFonts w:ascii="Lato" w:eastAsia="Lato" w:hAnsi="Lato" w:cs="Lato"/>
                <w:sz w:val="22"/>
              </w:rPr>
            </w:pPr>
            <w:r w:rsidRPr="7DA89621">
              <w:rPr>
                <w:rFonts w:ascii="Lato" w:eastAsia="Lato" w:hAnsi="Lato" w:cs="Lato"/>
                <w:sz w:val="22"/>
              </w:rPr>
              <w:t xml:space="preserve"> </w:t>
            </w:r>
          </w:p>
        </w:tc>
        <w:tc>
          <w:tcPr>
            <w:tcW w:w="1260"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DAE9F8"/>
            <w:tcMar>
              <w:left w:w="108" w:type="dxa"/>
              <w:right w:w="108" w:type="dxa"/>
            </w:tcMar>
            <w:vAlign w:val="center"/>
          </w:tcPr>
          <w:p w14:paraId="10247768" w14:textId="559041EF" w:rsidR="7DA89621" w:rsidRDefault="005D4284" w:rsidP="7DA89621">
            <w:pPr>
              <w:rPr>
                <w:rFonts w:ascii="Lato" w:eastAsia="Lato" w:hAnsi="Lato" w:cs="Lato"/>
                <w:sz w:val="22"/>
              </w:rPr>
            </w:pPr>
            <w:r>
              <w:rPr>
                <w:rFonts w:ascii="Lato" w:eastAsia="Lato" w:hAnsi="Lato" w:cs="Lato"/>
                <w:sz w:val="22"/>
              </w:rPr>
              <w:t>PDM</w:t>
            </w:r>
            <w:r w:rsidR="7DA89621" w:rsidRPr="7DA89621">
              <w:rPr>
                <w:rFonts w:ascii="Lato" w:eastAsia="Lato" w:hAnsi="Lato" w:cs="Lato"/>
                <w:sz w:val="22"/>
              </w:rPr>
              <w:t>) and Education</w:t>
            </w:r>
          </w:p>
          <w:p w14:paraId="040DE947" w14:textId="13CDA6D5" w:rsidR="7DA89621" w:rsidRDefault="7DA89621" w:rsidP="7DA89621">
            <w:pPr>
              <w:rPr>
                <w:rFonts w:ascii="Lato" w:eastAsia="Lato" w:hAnsi="Lato" w:cs="Lato"/>
                <w:sz w:val="22"/>
              </w:rPr>
            </w:pPr>
            <w:r w:rsidRPr="7DA89621">
              <w:rPr>
                <w:rFonts w:ascii="Lato" w:eastAsia="Lato" w:hAnsi="Lato" w:cs="Lato"/>
                <w:sz w:val="22"/>
              </w:rPr>
              <w:t xml:space="preserve"> activities surveys or reports</w:t>
            </w:r>
          </w:p>
        </w:tc>
      </w:tr>
      <w:tr w:rsidR="00927904" w14:paraId="60617082" w14:textId="77777777" w:rsidTr="00776E21">
        <w:trPr>
          <w:trHeight w:val="300"/>
        </w:trPr>
        <w:tc>
          <w:tcPr>
            <w:tcW w:w="983" w:type="dxa"/>
            <w:vMerge/>
            <w:tcBorders>
              <w:left w:val="single" w:sz="4" w:space="0" w:color="auto"/>
              <w:bottom w:val="single" w:sz="4" w:space="0" w:color="auto"/>
              <w:right w:val="single" w:sz="4" w:space="0" w:color="auto"/>
            </w:tcBorders>
            <w:vAlign w:val="center"/>
          </w:tcPr>
          <w:p w14:paraId="235C73BB" w14:textId="77777777" w:rsidR="00F46EA9" w:rsidRDefault="00F46EA9"/>
        </w:tc>
        <w:tc>
          <w:tcPr>
            <w:tcW w:w="855" w:type="dxa"/>
            <w:vMerge/>
            <w:tcBorders>
              <w:top w:val="single" w:sz="8" w:space="0" w:color="000000" w:themeColor="text1"/>
              <w:left w:val="single" w:sz="4" w:space="0" w:color="auto"/>
              <w:bottom w:val="single" w:sz="4" w:space="0" w:color="auto"/>
              <w:right w:val="single" w:sz="4" w:space="0" w:color="auto"/>
            </w:tcBorders>
            <w:vAlign w:val="center"/>
          </w:tcPr>
          <w:p w14:paraId="3E636988" w14:textId="77777777" w:rsidR="00F46EA9" w:rsidRDefault="00F46EA9"/>
        </w:tc>
        <w:tc>
          <w:tcPr>
            <w:tcW w:w="2835" w:type="dxa"/>
            <w:tcBorders>
              <w:top w:val="single" w:sz="8" w:space="0" w:color="auto"/>
              <w:left w:val="single" w:sz="4" w:space="0" w:color="auto"/>
              <w:bottom w:val="single" w:sz="4" w:space="0" w:color="auto"/>
              <w:right w:val="single" w:sz="8" w:space="0" w:color="auto"/>
            </w:tcBorders>
            <w:shd w:val="clear" w:color="auto" w:fill="DAE9F8"/>
            <w:tcMar>
              <w:left w:w="108" w:type="dxa"/>
              <w:right w:w="108" w:type="dxa"/>
            </w:tcMar>
          </w:tcPr>
          <w:p w14:paraId="1C3C1970" w14:textId="3D0F5A87" w:rsidR="7DA89621" w:rsidRDefault="7DA89621" w:rsidP="7DA89621">
            <w:pPr>
              <w:jc w:val="left"/>
              <w:rPr>
                <w:rFonts w:ascii="Lato" w:eastAsia="Lato" w:hAnsi="Lato" w:cs="Lato"/>
                <w:color w:val="000000" w:themeColor="text1"/>
                <w:sz w:val="22"/>
              </w:rPr>
            </w:pPr>
            <w:r w:rsidRPr="7DA89621">
              <w:rPr>
                <w:rFonts w:ascii="Lato" w:eastAsia="Lato" w:hAnsi="Lato" w:cs="Lato"/>
                <w:color w:val="000000" w:themeColor="text1"/>
                <w:sz w:val="22"/>
              </w:rPr>
              <w:t>Number of adaptations in the design and/or implementation of the JR, as a result of the input from beneficiaries.</w:t>
            </w:r>
          </w:p>
        </w:tc>
        <w:tc>
          <w:tcPr>
            <w:tcW w:w="851" w:type="dxa"/>
            <w:tcBorders>
              <w:top w:val="single" w:sz="8" w:space="0" w:color="auto"/>
              <w:left w:val="single" w:sz="8" w:space="0" w:color="auto"/>
              <w:bottom w:val="single" w:sz="4" w:space="0" w:color="auto"/>
              <w:right w:val="single" w:sz="8" w:space="0" w:color="auto"/>
            </w:tcBorders>
            <w:shd w:val="clear" w:color="auto" w:fill="BDCAD7"/>
            <w:tcMar>
              <w:left w:w="108" w:type="dxa"/>
              <w:right w:w="108" w:type="dxa"/>
            </w:tcMar>
          </w:tcPr>
          <w:p w14:paraId="315387A8" w14:textId="5DAF770A" w:rsidR="7DA89621" w:rsidRDefault="7DA89621" w:rsidP="7DA89621">
            <w:pPr>
              <w:jc w:val="left"/>
              <w:rPr>
                <w:rFonts w:ascii="Lato" w:eastAsia="Lato" w:hAnsi="Lato" w:cs="Lato"/>
                <w:i/>
                <w:iCs/>
                <w:color w:val="000000" w:themeColor="text1"/>
                <w:sz w:val="22"/>
              </w:rPr>
            </w:pPr>
            <w:r w:rsidRPr="7DA89621">
              <w:rPr>
                <w:rFonts w:ascii="Lato" w:eastAsia="Lato" w:hAnsi="Lato" w:cs="Lato"/>
                <w:i/>
                <w:iCs/>
                <w:color w:val="000000" w:themeColor="text1"/>
                <w:sz w:val="22"/>
              </w:rPr>
              <w:t xml:space="preserve"> </w:t>
            </w:r>
          </w:p>
        </w:tc>
        <w:tc>
          <w:tcPr>
            <w:tcW w:w="1134" w:type="dxa"/>
            <w:tcBorders>
              <w:top w:val="single" w:sz="8" w:space="0" w:color="000000" w:themeColor="text1"/>
              <w:left w:val="single" w:sz="8" w:space="0" w:color="auto"/>
              <w:bottom w:val="single" w:sz="4" w:space="0" w:color="auto"/>
              <w:right w:val="single" w:sz="8" w:space="0" w:color="000000" w:themeColor="text1"/>
            </w:tcBorders>
            <w:shd w:val="clear" w:color="auto" w:fill="DAE9F8"/>
            <w:tcMar>
              <w:left w:w="108" w:type="dxa"/>
              <w:right w:w="108" w:type="dxa"/>
            </w:tcMar>
            <w:vAlign w:val="center"/>
          </w:tcPr>
          <w:p w14:paraId="6B235303" w14:textId="6D1544ED" w:rsidR="7DA89621" w:rsidRDefault="7DA89621" w:rsidP="7DA89621">
            <w:pPr>
              <w:rPr>
                <w:rFonts w:ascii="Lato" w:eastAsia="Lato" w:hAnsi="Lato" w:cs="Lato"/>
                <w:sz w:val="22"/>
              </w:rPr>
            </w:pPr>
            <w:r w:rsidRPr="7DA89621">
              <w:rPr>
                <w:rFonts w:ascii="Lato" w:eastAsia="Lato" w:hAnsi="Lato" w:cs="Lato"/>
                <w:sz w:val="22"/>
              </w:rPr>
              <w:t>1</w:t>
            </w:r>
          </w:p>
        </w:tc>
        <w:tc>
          <w:tcPr>
            <w:tcW w:w="1842"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DAE9F8"/>
            <w:tcMar>
              <w:left w:w="108" w:type="dxa"/>
              <w:right w:w="108" w:type="dxa"/>
            </w:tcMar>
            <w:vAlign w:val="center"/>
          </w:tcPr>
          <w:p w14:paraId="3E178164" w14:textId="765F7D35" w:rsidR="7DA89621" w:rsidRDefault="7DA89621" w:rsidP="7DA89621">
            <w:pPr>
              <w:rPr>
                <w:rFonts w:ascii="Lato" w:eastAsia="Lato" w:hAnsi="Lato" w:cs="Lato"/>
                <w:sz w:val="22"/>
              </w:rPr>
            </w:pPr>
            <w:r w:rsidRPr="7DA89621">
              <w:rPr>
                <w:rFonts w:ascii="Lato" w:eastAsia="Lato" w:hAnsi="Lato" w:cs="Lato"/>
                <w:sz w:val="22"/>
              </w:rPr>
              <w:t>0</w:t>
            </w:r>
          </w:p>
        </w:tc>
        <w:tc>
          <w:tcPr>
            <w:tcW w:w="1985"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DAE9F8"/>
            <w:tcMar>
              <w:left w:w="108" w:type="dxa"/>
              <w:right w:w="108" w:type="dxa"/>
            </w:tcMar>
            <w:vAlign w:val="center"/>
          </w:tcPr>
          <w:p w14:paraId="1D982A42" w14:textId="3E475446" w:rsidR="7DA89621" w:rsidRDefault="7DA89621" w:rsidP="7DA89621">
            <w:pPr>
              <w:rPr>
                <w:rFonts w:ascii="Lato" w:eastAsia="Lato" w:hAnsi="Lato" w:cs="Lato"/>
                <w:sz w:val="22"/>
              </w:rPr>
            </w:pPr>
            <w:r w:rsidRPr="7DA89621">
              <w:rPr>
                <w:rFonts w:ascii="Lato" w:eastAsia="Lato" w:hAnsi="Lato" w:cs="Lato"/>
                <w:sz w:val="22"/>
              </w:rPr>
              <w:t xml:space="preserve"> </w:t>
            </w:r>
          </w:p>
        </w:tc>
        <w:tc>
          <w:tcPr>
            <w:tcW w:w="1260" w:type="dxa"/>
            <w:tcBorders>
              <w:top w:val="single" w:sz="8" w:space="0" w:color="000000" w:themeColor="text1"/>
              <w:left w:val="single" w:sz="8" w:space="0" w:color="000000" w:themeColor="text1"/>
              <w:bottom w:val="single" w:sz="4" w:space="0" w:color="auto"/>
              <w:right w:val="single" w:sz="4" w:space="0" w:color="auto"/>
            </w:tcBorders>
            <w:shd w:val="clear" w:color="auto" w:fill="DAE9F8"/>
            <w:tcMar>
              <w:left w:w="108" w:type="dxa"/>
              <w:right w:w="108" w:type="dxa"/>
            </w:tcMar>
            <w:vAlign w:val="center"/>
          </w:tcPr>
          <w:p w14:paraId="23765B7E" w14:textId="2A1744FD" w:rsidR="7DA89621" w:rsidRDefault="7DA89621" w:rsidP="7DA89621">
            <w:pPr>
              <w:rPr>
                <w:rFonts w:ascii="Lato" w:eastAsia="Lato" w:hAnsi="Lato" w:cs="Lato"/>
                <w:sz w:val="22"/>
              </w:rPr>
            </w:pPr>
          </w:p>
        </w:tc>
      </w:tr>
    </w:tbl>
    <w:p w14:paraId="04295A80" w14:textId="758CC965" w:rsidR="00E111F2" w:rsidRPr="007865AF" w:rsidRDefault="00E111F2" w:rsidP="7DA89621">
      <w:pPr>
        <w:spacing w:after="200"/>
        <w:rPr>
          <w:rFonts w:ascii="Lato" w:hAnsi="Lato" w:cstheme="majorBidi"/>
          <w:sz w:val="22"/>
        </w:rPr>
      </w:pPr>
    </w:p>
    <w:p w14:paraId="071BC102" w14:textId="329D77CB" w:rsidR="25C8A4F2" w:rsidRDefault="0037723A" w:rsidP="4CA2BE91">
      <w:pPr>
        <w:spacing w:after="200"/>
        <w:rPr>
          <w:rFonts w:ascii="Lato" w:hAnsi="Lato" w:cstheme="majorBidi"/>
          <w:sz w:val="22"/>
        </w:rPr>
      </w:pPr>
      <w:r w:rsidRPr="4CA2BE91">
        <w:rPr>
          <w:rFonts w:ascii="Lato" w:hAnsi="Lato" w:cstheme="majorBidi"/>
          <w:sz w:val="22"/>
        </w:rPr>
        <w:t>The project funded by DRA successfully reached a total of 1,742 beneficiaries in Port-au-Prince, providing education services, multi-purpose cash assistance, and protection to the most affected individuals.</w:t>
      </w:r>
      <w:r w:rsidR="00B91779" w:rsidRPr="4CA2BE91">
        <w:rPr>
          <w:rFonts w:ascii="Lato" w:hAnsi="Lato" w:cstheme="majorBidi"/>
          <w:sz w:val="22"/>
        </w:rPr>
        <w:t xml:space="preserve"> </w:t>
      </w:r>
      <w:r w:rsidR="119A47FF" w:rsidRPr="4CA2BE91">
        <w:rPr>
          <w:rFonts w:ascii="Lato" w:hAnsi="Lato" w:cstheme="majorBidi"/>
          <w:sz w:val="22"/>
        </w:rPr>
        <w:t>Education</w:t>
      </w:r>
      <w:r w:rsidR="29319D1D" w:rsidRPr="4CA2BE91">
        <w:rPr>
          <w:rFonts w:ascii="Lato" w:hAnsi="Lato" w:cstheme="majorBidi"/>
          <w:sz w:val="22"/>
        </w:rPr>
        <w:t>al continuity was</w:t>
      </w:r>
      <w:r w:rsidR="25C8A4F2" w:rsidRPr="4CA2BE91">
        <w:rPr>
          <w:rFonts w:ascii="Lato" w:hAnsi="Lato" w:cstheme="majorBidi"/>
          <w:sz w:val="22"/>
        </w:rPr>
        <w:t xml:space="preserve"> retained </w:t>
      </w:r>
      <w:r w:rsidR="137F40F5" w:rsidRPr="4CA2BE91">
        <w:rPr>
          <w:rFonts w:ascii="Lato" w:hAnsi="Lato" w:cstheme="majorBidi"/>
          <w:sz w:val="22"/>
        </w:rPr>
        <w:t xml:space="preserve">in violence-affected communities through community learning spaces </w:t>
      </w:r>
      <w:r w:rsidR="25C8A4F2" w:rsidRPr="4CA2BE91">
        <w:rPr>
          <w:rFonts w:ascii="Lato" w:hAnsi="Lato" w:cstheme="majorBidi"/>
          <w:sz w:val="22"/>
        </w:rPr>
        <w:t xml:space="preserve">and </w:t>
      </w:r>
      <w:r w:rsidR="74B1A85B" w:rsidRPr="4CA2BE91">
        <w:rPr>
          <w:rFonts w:ascii="Lato" w:hAnsi="Lato" w:cstheme="majorBidi"/>
          <w:sz w:val="22"/>
        </w:rPr>
        <w:t>restored in schools used as sites</w:t>
      </w:r>
      <w:r w:rsidR="25C8A4F2" w:rsidRPr="4CA2BE91">
        <w:rPr>
          <w:rFonts w:ascii="Lato" w:hAnsi="Lato" w:cstheme="majorBidi"/>
          <w:sz w:val="22"/>
        </w:rPr>
        <w:t xml:space="preserve"> while improving learning environments. Protection reported high safety and well-being outcomes and exceeded advocacy targets. </w:t>
      </w:r>
      <w:r w:rsidR="0C7AFB7A" w:rsidRPr="4CA2BE91">
        <w:rPr>
          <w:rFonts w:ascii="Lato" w:hAnsi="Lato" w:cstheme="majorBidi"/>
          <w:sz w:val="22"/>
        </w:rPr>
        <w:t>Despite logistical challenges, m</w:t>
      </w:r>
      <w:r w:rsidR="25C8A4F2" w:rsidRPr="4CA2BE91">
        <w:rPr>
          <w:rFonts w:ascii="Lato" w:hAnsi="Lato" w:cstheme="majorBidi"/>
          <w:sz w:val="22"/>
        </w:rPr>
        <w:t xml:space="preserve">ulti-purpose cash interventions </w:t>
      </w:r>
      <w:r w:rsidR="44A286FC" w:rsidRPr="4CA2BE91">
        <w:rPr>
          <w:rFonts w:ascii="Lato" w:hAnsi="Lato" w:cstheme="majorBidi"/>
          <w:sz w:val="22"/>
        </w:rPr>
        <w:t>proved effective in encouraging relocalization while freeing schools used as sites to restore educational continuity</w:t>
      </w:r>
      <w:r w:rsidR="25C8A4F2" w:rsidRPr="4CA2BE91">
        <w:rPr>
          <w:rFonts w:ascii="Lato" w:hAnsi="Lato" w:cstheme="majorBidi"/>
          <w:sz w:val="22"/>
        </w:rPr>
        <w:t xml:space="preserve">. </w:t>
      </w:r>
      <w:r w:rsidR="119A47FF" w:rsidRPr="4CA2BE91">
        <w:rPr>
          <w:rFonts w:ascii="Lato" w:hAnsi="Lato" w:cstheme="majorBidi"/>
          <w:sz w:val="22"/>
        </w:rPr>
        <w:t xml:space="preserve"> </w:t>
      </w:r>
      <w:r w:rsidR="25C8A4F2" w:rsidRPr="4CA2BE91">
        <w:rPr>
          <w:rFonts w:ascii="Lato" w:hAnsi="Lato" w:cstheme="majorBidi"/>
          <w:sz w:val="22"/>
        </w:rPr>
        <w:t xml:space="preserve">Localization </w:t>
      </w:r>
      <w:r w:rsidR="119A47FF" w:rsidRPr="4CA2BE91">
        <w:rPr>
          <w:rFonts w:ascii="Lato" w:hAnsi="Lato" w:cstheme="majorBidi"/>
          <w:sz w:val="22"/>
        </w:rPr>
        <w:t>under</w:t>
      </w:r>
      <w:r w:rsidR="00096541">
        <w:rPr>
          <w:rFonts w:ascii="Lato" w:hAnsi="Lato" w:cstheme="majorBidi"/>
          <w:sz w:val="22"/>
        </w:rPr>
        <w:t xml:space="preserve"> </w:t>
      </w:r>
      <w:r w:rsidR="7500B1D4" w:rsidRPr="4CA2BE91">
        <w:rPr>
          <w:rFonts w:ascii="Lato" w:hAnsi="Lato" w:cstheme="majorBidi"/>
          <w:sz w:val="22"/>
        </w:rPr>
        <w:t>over</w:t>
      </w:r>
      <w:r w:rsidR="119A47FF" w:rsidRPr="4CA2BE91">
        <w:rPr>
          <w:rFonts w:ascii="Lato" w:hAnsi="Lato" w:cstheme="majorBidi"/>
          <w:sz w:val="22"/>
        </w:rPr>
        <w:t>performed</w:t>
      </w:r>
      <w:r w:rsidR="25C8A4F2" w:rsidRPr="4CA2BE91">
        <w:rPr>
          <w:rFonts w:ascii="Lato" w:hAnsi="Lato" w:cstheme="majorBidi"/>
          <w:sz w:val="22"/>
        </w:rPr>
        <w:t xml:space="preserve">, with </w:t>
      </w:r>
      <w:r w:rsidR="5A8AC7B0" w:rsidRPr="4CA2BE91">
        <w:rPr>
          <w:rFonts w:ascii="Lato" w:hAnsi="Lato" w:cstheme="majorBidi"/>
          <w:sz w:val="22"/>
        </w:rPr>
        <w:t>more</w:t>
      </w:r>
      <w:r w:rsidR="25C8A4F2" w:rsidRPr="4CA2BE91">
        <w:rPr>
          <w:rFonts w:ascii="Lato" w:hAnsi="Lato" w:cstheme="majorBidi"/>
          <w:sz w:val="22"/>
        </w:rPr>
        <w:t xml:space="preserve"> actors </w:t>
      </w:r>
      <w:r w:rsidR="74523829" w:rsidRPr="4CA2BE91">
        <w:rPr>
          <w:rFonts w:ascii="Lato" w:hAnsi="Lato" w:cstheme="majorBidi"/>
          <w:sz w:val="22"/>
        </w:rPr>
        <w:t>(6</w:t>
      </w:r>
      <w:r w:rsidR="7CA58796" w:rsidRPr="4CA2BE91">
        <w:rPr>
          <w:rFonts w:ascii="Lato" w:hAnsi="Lato" w:cstheme="majorBidi"/>
          <w:sz w:val="22"/>
        </w:rPr>
        <w:t>7</w:t>
      </w:r>
      <w:r w:rsidR="74523829" w:rsidRPr="4CA2BE91">
        <w:rPr>
          <w:rFonts w:ascii="Lato" w:hAnsi="Lato" w:cstheme="majorBidi"/>
          <w:sz w:val="22"/>
        </w:rPr>
        <w:t>)</w:t>
      </w:r>
      <w:r w:rsidR="119A47FF" w:rsidRPr="4CA2BE91">
        <w:rPr>
          <w:rFonts w:ascii="Lato" w:hAnsi="Lato" w:cstheme="majorBidi"/>
          <w:sz w:val="22"/>
        </w:rPr>
        <w:t xml:space="preserve"> </w:t>
      </w:r>
      <w:r w:rsidR="25C8A4F2" w:rsidRPr="4CA2BE91">
        <w:rPr>
          <w:rFonts w:ascii="Lato" w:hAnsi="Lato" w:cstheme="majorBidi"/>
          <w:sz w:val="22"/>
        </w:rPr>
        <w:t>supported than planned</w:t>
      </w:r>
      <w:r w:rsidR="23F9E8E1" w:rsidRPr="4CA2BE91">
        <w:rPr>
          <w:rFonts w:ascii="Lato" w:hAnsi="Lato" w:cstheme="majorBidi"/>
          <w:sz w:val="22"/>
        </w:rPr>
        <w:t xml:space="preserve"> (45)</w:t>
      </w:r>
      <w:r w:rsidR="119A47FF" w:rsidRPr="4CA2BE91">
        <w:rPr>
          <w:rFonts w:ascii="Lato" w:hAnsi="Lato" w:cstheme="majorBidi"/>
          <w:sz w:val="22"/>
        </w:rPr>
        <w:t>.</w:t>
      </w:r>
      <w:r w:rsidR="25C8A4F2" w:rsidRPr="4CA2BE91">
        <w:rPr>
          <w:rFonts w:ascii="Lato" w:hAnsi="Lato" w:cstheme="majorBidi"/>
          <w:sz w:val="22"/>
        </w:rPr>
        <w:t xml:space="preserve"> Accountability performed well, with high beneficiary satisfaction, but lacked program adaptations based on feedback</w:t>
      </w:r>
      <w:r w:rsidR="6D007E3C" w:rsidRPr="4CA2BE91">
        <w:rPr>
          <w:rFonts w:ascii="Lato" w:hAnsi="Lato" w:cstheme="majorBidi"/>
          <w:sz w:val="22"/>
        </w:rPr>
        <w:t xml:space="preserve"> due to the </w:t>
      </w:r>
      <w:r w:rsidR="51B59CE0" w:rsidRPr="4CA2BE91">
        <w:rPr>
          <w:rFonts w:ascii="Lato" w:hAnsi="Lato" w:cstheme="majorBidi"/>
          <w:sz w:val="22"/>
        </w:rPr>
        <w:t>short project</w:t>
      </w:r>
      <w:r w:rsidR="6D007E3C" w:rsidRPr="4CA2BE91">
        <w:rPr>
          <w:rFonts w:ascii="Lato" w:hAnsi="Lato" w:cstheme="majorBidi"/>
          <w:sz w:val="22"/>
        </w:rPr>
        <w:t xml:space="preserve"> time</w:t>
      </w:r>
      <w:r w:rsidR="4745006B" w:rsidRPr="4CA2BE91">
        <w:rPr>
          <w:rFonts w:ascii="Lato" w:hAnsi="Lato" w:cstheme="majorBidi"/>
          <w:sz w:val="22"/>
        </w:rPr>
        <w:t>line</w:t>
      </w:r>
      <w:r w:rsidR="6D007E3C" w:rsidRPr="4CA2BE91">
        <w:rPr>
          <w:rFonts w:ascii="Lato" w:hAnsi="Lato" w:cstheme="majorBidi"/>
          <w:sz w:val="22"/>
        </w:rPr>
        <w:t xml:space="preserve"> and </w:t>
      </w:r>
      <w:r w:rsidR="61CFF0C9" w:rsidRPr="4CA2BE91">
        <w:rPr>
          <w:rFonts w:ascii="Lato" w:hAnsi="Lato" w:cstheme="majorBidi"/>
          <w:sz w:val="22"/>
        </w:rPr>
        <w:t xml:space="preserve">limited </w:t>
      </w:r>
      <w:r w:rsidR="6D007E3C" w:rsidRPr="4CA2BE91">
        <w:rPr>
          <w:rFonts w:ascii="Lato" w:hAnsi="Lato" w:cstheme="majorBidi"/>
          <w:sz w:val="22"/>
        </w:rPr>
        <w:t>budget</w:t>
      </w:r>
      <w:r w:rsidR="119A47FF" w:rsidRPr="4CA2BE91">
        <w:rPr>
          <w:rFonts w:ascii="Lato" w:hAnsi="Lato" w:cstheme="majorBidi"/>
          <w:sz w:val="22"/>
        </w:rPr>
        <w:t>.</w:t>
      </w:r>
      <w:r w:rsidR="25C8A4F2" w:rsidRPr="4CA2BE91">
        <w:rPr>
          <w:rFonts w:ascii="Lato" w:hAnsi="Lato" w:cstheme="majorBidi"/>
          <w:sz w:val="22"/>
        </w:rPr>
        <w:t xml:space="preserve"> Overall, the project had a positive impact with areas for improvement.</w:t>
      </w:r>
    </w:p>
    <w:p w14:paraId="5BC59989" w14:textId="74408901" w:rsidR="6993808C" w:rsidRDefault="6993808C" w:rsidP="6993808C">
      <w:pPr>
        <w:spacing w:after="200"/>
        <w:rPr>
          <w:rFonts w:ascii="Lato" w:hAnsi="Lato" w:cstheme="majorBidi"/>
          <w:sz w:val="22"/>
        </w:rPr>
      </w:pPr>
    </w:p>
    <w:p w14:paraId="2C5F9135" w14:textId="6089343B" w:rsidR="54269D95" w:rsidRDefault="54269D95" w:rsidP="6993808C">
      <w:pPr>
        <w:spacing w:after="200"/>
        <w:rPr>
          <w:rFonts w:ascii="Lato" w:hAnsi="Lato" w:cstheme="majorBidi"/>
          <w:b/>
          <w:bCs/>
          <w:sz w:val="22"/>
        </w:rPr>
      </w:pPr>
      <w:r w:rsidRPr="6993808C">
        <w:rPr>
          <w:rFonts w:ascii="Lato" w:hAnsi="Lato" w:cstheme="majorBidi"/>
          <w:b/>
          <w:bCs/>
          <w:sz w:val="22"/>
        </w:rPr>
        <w:t>Education (EDU)</w:t>
      </w:r>
    </w:p>
    <w:p w14:paraId="6BE4A4A9" w14:textId="7E1388A2" w:rsidR="3A5D0A13" w:rsidRDefault="3A5D0A13" w:rsidP="6993808C">
      <w:pPr>
        <w:spacing w:after="200"/>
        <w:rPr>
          <w:rFonts w:ascii="Lato" w:hAnsi="Lato" w:cstheme="majorBidi"/>
          <w:sz w:val="22"/>
        </w:rPr>
      </w:pPr>
      <w:r w:rsidRPr="6993808C">
        <w:rPr>
          <w:rFonts w:ascii="Lato" w:hAnsi="Lato" w:cstheme="majorBidi"/>
          <w:sz w:val="22"/>
        </w:rPr>
        <w:t xml:space="preserve">The education sector achieved remarkable success, meeting all its targets across key indicators. Both Ecole Nouvelle Zoranje and Ecole Nationale Zoranje </w:t>
      </w:r>
      <w:r w:rsidR="008D6505">
        <w:rPr>
          <w:rFonts w:ascii="Lato" w:hAnsi="Lato" w:cstheme="majorBidi"/>
          <w:sz w:val="22"/>
        </w:rPr>
        <w:t xml:space="preserve">located in Port au Prince </w:t>
      </w:r>
      <w:r w:rsidRPr="6993808C">
        <w:rPr>
          <w:rFonts w:ascii="Lato" w:hAnsi="Lato" w:cstheme="majorBidi"/>
          <w:sz w:val="22"/>
        </w:rPr>
        <w:t xml:space="preserve">retained 100% of the targeted girls and boys in education and ensured 100% of children transitioned to the next level of education. </w:t>
      </w:r>
      <w:r w:rsidR="00BC48C1" w:rsidRPr="00BC48C1">
        <w:rPr>
          <w:rFonts w:ascii="Lato" w:hAnsi="Lato" w:cstheme="majorBidi"/>
          <w:sz w:val="22"/>
        </w:rPr>
        <w:t>Furthermore, 540 boys and girls accessed safe and quality learning opportunities</w:t>
      </w:r>
      <w:r w:rsidR="00DD2F75">
        <w:rPr>
          <w:rFonts w:ascii="Lato" w:hAnsi="Lato" w:cstheme="majorBidi"/>
          <w:sz w:val="22"/>
        </w:rPr>
        <w:t xml:space="preserve"> </w:t>
      </w:r>
      <w:r w:rsidR="00854F0B">
        <w:rPr>
          <w:rFonts w:ascii="Lato" w:hAnsi="Lato" w:cstheme="majorBidi"/>
          <w:sz w:val="22"/>
        </w:rPr>
        <w:t xml:space="preserve">run by </w:t>
      </w:r>
      <w:r w:rsidR="00485C3E">
        <w:rPr>
          <w:rFonts w:ascii="Lato" w:hAnsi="Lato" w:cstheme="majorBidi"/>
          <w:sz w:val="22"/>
        </w:rPr>
        <w:t xml:space="preserve">the existing </w:t>
      </w:r>
      <w:r w:rsidR="00854F0B">
        <w:rPr>
          <w:rFonts w:ascii="Lato" w:hAnsi="Lato" w:cstheme="majorBidi"/>
          <w:sz w:val="22"/>
        </w:rPr>
        <w:t>school staff</w:t>
      </w:r>
      <w:r w:rsidR="00BC48C1" w:rsidRPr="00BC48C1">
        <w:rPr>
          <w:rFonts w:ascii="Lato" w:hAnsi="Lato" w:cstheme="majorBidi"/>
          <w:sz w:val="22"/>
        </w:rPr>
        <w:t xml:space="preserve">. </w:t>
      </w:r>
      <w:r w:rsidR="0011011A">
        <w:rPr>
          <w:rFonts w:ascii="Lato" w:hAnsi="Lato" w:cstheme="majorBidi"/>
          <w:sz w:val="22"/>
        </w:rPr>
        <w:t>18</w:t>
      </w:r>
      <w:r w:rsidR="00BC48C1" w:rsidRPr="00BC48C1">
        <w:rPr>
          <w:rFonts w:ascii="Lato" w:hAnsi="Lato" w:cstheme="majorBidi"/>
          <w:sz w:val="22"/>
        </w:rPr>
        <w:t xml:space="preserve"> learning spaces were rehabilitated or equipped to meet required standards. Additionally, 30 teachers and 2 school principals received training on key topics such as child protection, child safeguarding, gender equality, and psychosocial support.</w:t>
      </w:r>
      <w:r w:rsidRPr="6993808C">
        <w:rPr>
          <w:rFonts w:ascii="Lato" w:hAnsi="Lato" w:cstheme="majorBidi"/>
          <w:sz w:val="22"/>
        </w:rPr>
        <w:t xml:space="preserve"> </w:t>
      </w:r>
      <w:r w:rsidR="00CA42CF" w:rsidRPr="00CA42CF">
        <w:rPr>
          <w:rFonts w:ascii="Lato" w:hAnsi="Lato" w:cstheme="majorBidi"/>
          <w:sz w:val="22"/>
        </w:rPr>
        <w:t>PODEV took the lead in implementing the project, ensuring its smooth execution, while Save the Children provided consistent monitoring and support throughout the process.</w:t>
      </w:r>
      <w:r w:rsidR="5E8043EF" w:rsidRPr="78639574">
        <w:rPr>
          <w:rFonts w:ascii="Lato" w:hAnsi="Lato" w:cstheme="majorBidi"/>
          <w:sz w:val="22"/>
        </w:rPr>
        <w:t xml:space="preserve"> </w:t>
      </w:r>
      <w:r w:rsidRPr="6993808C">
        <w:rPr>
          <w:rFonts w:ascii="Lato" w:hAnsi="Lato" w:cstheme="majorBidi"/>
          <w:sz w:val="22"/>
        </w:rPr>
        <w:t>These results indicate that the program effectively delivered on its promises, fostering improved access to education and quality learning environments without any significant variances</w:t>
      </w:r>
      <w:r w:rsidR="54269D95" w:rsidRPr="6993808C">
        <w:rPr>
          <w:rFonts w:ascii="Lato" w:hAnsi="Lato" w:cstheme="majorBidi"/>
          <w:sz w:val="22"/>
        </w:rPr>
        <w:t>.</w:t>
      </w:r>
    </w:p>
    <w:p w14:paraId="4103D5E6" w14:textId="77777777" w:rsidR="00A174E3" w:rsidRDefault="00A174E3" w:rsidP="6993808C">
      <w:pPr>
        <w:spacing w:after="200"/>
        <w:rPr>
          <w:rFonts w:ascii="Lato" w:hAnsi="Lato" w:cstheme="majorBidi"/>
          <w:sz w:val="22"/>
        </w:rPr>
      </w:pPr>
    </w:p>
    <w:p w14:paraId="0635F7B4" w14:textId="77777777" w:rsidR="00A174E3" w:rsidRDefault="54269D95" w:rsidP="4CA2BE91">
      <w:pPr>
        <w:spacing w:after="200"/>
      </w:pPr>
      <w:r w:rsidRPr="6993808C">
        <w:rPr>
          <w:rFonts w:ascii="Lato" w:hAnsi="Lato" w:cstheme="majorBidi"/>
          <w:b/>
          <w:bCs/>
          <w:sz w:val="22"/>
        </w:rPr>
        <w:t>Protection (PRO)</w:t>
      </w:r>
    </w:p>
    <w:p w14:paraId="608DBB17" w14:textId="3BB0BC56" w:rsidR="42081266" w:rsidRPr="00A174E3" w:rsidRDefault="42081266" w:rsidP="4CA2BE91">
      <w:pPr>
        <w:spacing w:after="200"/>
      </w:pPr>
      <w:r w:rsidRPr="4CA2BE91">
        <w:rPr>
          <w:rFonts w:ascii="Lato" w:hAnsi="Lato" w:cstheme="majorBidi"/>
          <w:sz w:val="22"/>
        </w:rPr>
        <w:t>The protection sector reported high levels of achievement, with 97.3% of targeted individuals at Ecole Nouvelle Zoranje and 97.1% at Ecole Nationale Zoranje reporting increased safety and well-being. However, improvements in mental health and psychosocial well-being were slightly lower, at 77.3% and 77.1%, respectively</w:t>
      </w:r>
      <w:r w:rsidR="42876B87" w:rsidRPr="4CA2BE91">
        <w:rPr>
          <w:rFonts w:ascii="Lato" w:hAnsi="Lato" w:cstheme="majorBidi"/>
          <w:sz w:val="22"/>
        </w:rPr>
        <w:t>, which can be explained by the protracted crisis context and the needs for longer-term support</w:t>
      </w:r>
      <w:r w:rsidRPr="4CA2BE91">
        <w:rPr>
          <w:rFonts w:ascii="Lato" w:hAnsi="Lato" w:cstheme="majorBidi"/>
          <w:sz w:val="22"/>
        </w:rPr>
        <w:t xml:space="preserve">. </w:t>
      </w:r>
      <w:r w:rsidR="6A0839D4" w:rsidRPr="4CA2BE91">
        <w:rPr>
          <w:rFonts w:ascii="Lato" w:hAnsi="Lato" w:cstheme="majorBidi"/>
          <w:color w:val="auto"/>
          <w:sz w:val="22"/>
        </w:rPr>
        <w:t xml:space="preserve">For cases requiring long-term support, referrals have been made. </w:t>
      </w:r>
      <w:r w:rsidR="6A0839D4" w:rsidRPr="4CA2BE91">
        <w:rPr>
          <w:rFonts w:ascii="Lato" w:hAnsi="Lato" w:cstheme="majorBidi"/>
          <w:sz w:val="22"/>
        </w:rPr>
        <w:t xml:space="preserve"> </w:t>
      </w:r>
      <w:r w:rsidRPr="4CA2BE91">
        <w:rPr>
          <w:rFonts w:ascii="Lato" w:hAnsi="Lato" w:cstheme="majorBidi"/>
          <w:sz w:val="22"/>
        </w:rPr>
        <w:t xml:space="preserve">All targets for the number of individuals receiving prevention actions (570) and rights-related </w:t>
      </w:r>
      <w:r w:rsidRPr="4CA2BE91">
        <w:rPr>
          <w:rFonts w:ascii="Lato" w:hAnsi="Lato" w:cstheme="majorBidi"/>
          <w:sz w:val="22"/>
        </w:rPr>
        <w:lastRenderedPageBreak/>
        <w:t>information (570) were achieved. Advocacy and outreach exceeded expectations, with 20 products or events delivered, significantly surpassing the target of 3. The sector also successfully met its goal of supporting 524 children according to their specific needs, showcasing strong performance overall</w:t>
      </w:r>
      <w:r w:rsidR="54269D95" w:rsidRPr="4CA2BE91">
        <w:rPr>
          <w:rFonts w:ascii="Lato" w:hAnsi="Lato" w:cstheme="majorBidi"/>
          <w:sz w:val="22"/>
        </w:rPr>
        <w:t>.</w:t>
      </w:r>
    </w:p>
    <w:p w14:paraId="3C80ED11" w14:textId="34B24B6B" w:rsidR="6993808C" w:rsidRDefault="6993808C" w:rsidP="6993808C">
      <w:pPr>
        <w:spacing w:after="200"/>
        <w:rPr>
          <w:rFonts w:ascii="Lato" w:hAnsi="Lato" w:cstheme="majorBidi"/>
          <w:sz w:val="22"/>
        </w:rPr>
      </w:pPr>
    </w:p>
    <w:p w14:paraId="018705CA" w14:textId="1CF8EECC" w:rsidR="54269D95" w:rsidRDefault="54269D95" w:rsidP="6993808C">
      <w:pPr>
        <w:spacing w:after="200"/>
        <w:rPr>
          <w:rFonts w:ascii="Lato" w:hAnsi="Lato" w:cstheme="majorBidi"/>
          <w:b/>
          <w:bCs/>
          <w:sz w:val="22"/>
        </w:rPr>
      </w:pPr>
      <w:r w:rsidRPr="6993808C">
        <w:rPr>
          <w:rFonts w:ascii="Lato" w:hAnsi="Lato" w:cstheme="majorBidi"/>
          <w:b/>
          <w:bCs/>
          <w:sz w:val="22"/>
        </w:rPr>
        <w:t>Multi-Purpose Cash (MPC)</w:t>
      </w:r>
    </w:p>
    <w:p w14:paraId="084F35DD" w14:textId="01FBC612" w:rsidR="008330E1" w:rsidRDefault="008330E1" w:rsidP="008330E1">
      <w:pPr>
        <w:spacing w:after="200"/>
        <w:rPr>
          <w:rFonts w:ascii="Lato" w:hAnsi="Lato" w:cstheme="majorBidi"/>
          <w:sz w:val="22"/>
          <w:lang w:val="en-US"/>
        </w:rPr>
      </w:pPr>
      <w:r w:rsidRPr="00AF557B">
        <w:rPr>
          <w:rFonts w:ascii="Lato" w:hAnsi="Lato" w:cstheme="majorBidi"/>
          <w:sz w:val="22"/>
          <w:lang w:val="en-US"/>
        </w:rPr>
        <w:t xml:space="preserve">The multi-purpose cash sector </w:t>
      </w:r>
      <w:r w:rsidR="5F650F9A" w:rsidRPr="79AA18F5">
        <w:rPr>
          <w:rFonts w:ascii="Lato" w:hAnsi="Lato" w:cstheme="majorBidi"/>
          <w:sz w:val="22"/>
          <w:lang w:val="en-US"/>
        </w:rPr>
        <w:t>achieved the set objectives of providing households with more dignified housing solutions while freeing schools used as sites to restore educational continuity</w:t>
      </w:r>
      <w:r w:rsidRPr="00AF557B">
        <w:rPr>
          <w:rFonts w:ascii="Lato" w:hAnsi="Lato" w:cstheme="majorBidi"/>
          <w:sz w:val="22"/>
          <w:lang w:val="en-US"/>
        </w:rPr>
        <w:t>.</w:t>
      </w:r>
      <w:r w:rsidR="5F88D927" w:rsidRPr="79AA18F5">
        <w:rPr>
          <w:rFonts w:ascii="Lato" w:hAnsi="Lato" w:cstheme="majorBidi"/>
          <w:sz w:val="22"/>
          <w:lang w:val="en-US"/>
        </w:rPr>
        <w:t xml:space="preserve"> </w:t>
      </w:r>
      <w:r w:rsidR="5F88D927" w:rsidRPr="0EDAE803">
        <w:rPr>
          <w:rFonts w:ascii="Lato" w:hAnsi="Lato" w:cstheme="majorBidi"/>
          <w:sz w:val="22"/>
          <w:lang w:val="en-US"/>
        </w:rPr>
        <w:t>However, the limited duration of the intervention could not generate more ambitious, long-lasting impact in terms</w:t>
      </w:r>
      <w:r w:rsidR="5F88D927" w:rsidRPr="79AA18F5">
        <w:rPr>
          <w:rFonts w:ascii="Lato" w:hAnsi="Lato" w:cstheme="majorBidi"/>
          <w:sz w:val="22"/>
          <w:lang w:val="en-US"/>
        </w:rPr>
        <w:t xml:space="preserve"> </w:t>
      </w:r>
      <w:r w:rsidR="5F88D927" w:rsidRPr="71837130">
        <w:rPr>
          <w:rFonts w:ascii="Lato" w:hAnsi="Lato" w:cstheme="majorBidi"/>
          <w:sz w:val="22"/>
          <w:lang w:val="en-US"/>
        </w:rPr>
        <w:t>of</w:t>
      </w:r>
      <w:r w:rsidR="3D412803" w:rsidRPr="71837130">
        <w:rPr>
          <w:rFonts w:ascii="Lato" w:hAnsi="Lato" w:cstheme="majorBidi"/>
          <w:sz w:val="22"/>
          <w:lang w:val="en-US"/>
        </w:rPr>
        <w:t xml:space="preserve"> sustained </w:t>
      </w:r>
      <w:r w:rsidR="00F902D6" w:rsidRPr="71837130">
        <w:rPr>
          <w:rFonts w:ascii="Lato" w:hAnsi="Lato" w:cstheme="majorBidi"/>
          <w:sz w:val="22"/>
          <w:lang w:val="en-US"/>
        </w:rPr>
        <w:t>households’</w:t>
      </w:r>
      <w:r w:rsidR="3D412803" w:rsidRPr="71837130">
        <w:rPr>
          <w:rFonts w:ascii="Lato" w:hAnsi="Lato" w:cstheme="majorBidi"/>
          <w:sz w:val="22"/>
          <w:lang w:val="en-US"/>
        </w:rPr>
        <w:t xml:space="preserve"> ability to meet their needs.</w:t>
      </w:r>
      <w:r w:rsidRPr="00AF557B">
        <w:rPr>
          <w:rFonts w:ascii="Lato" w:hAnsi="Lato" w:cstheme="majorBidi"/>
          <w:sz w:val="22"/>
          <w:lang w:val="en-US"/>
        </w:rPr>
        <w:t xml:space="preserve"> Improvements were observed in households reporting the ability to meet basic needs, with small increases in the "All" category (7% at Ecole Nationale Republique Colombie and 5.5% at Ecole Nationale Joseph Bernard de Frere). </w:t>
      </w:r>
      <w:r w:rsidR="23FC819C" w:rsidRPr="71837130">
        <w:rPr>
          <w:rFonts w:ascii="Lato" w:hAnsi="Lato" w:cstheme="majorBidi"/>
          <w:sz w:val="22"/>
          <w:lang w:val="en-US"/>
        </w:rPr>
        <w:t>T</w:t>
      </w:r>
      <w:r w:rsidRPr="00AF557B">
        <w:rPr>
          <w:rFonts w:ascii="Lato" w:hAnsi="Lato" w:cstheme="majorBidi"/>
          <w:sz w:val="22"/>
          <w:lang w:val="en-US"/>
        </w:rPr>
        <w:t xml:space="preserve">he sector reached only 1,202 of the targeted 1,300 beneficiaries for both </w:t>
      </w:r>
      <w:r w:rsidR="004E27F9">
        <w:rPr>
          <w:rFonts w:ascii="Lato" w:hAnsi="Lato" w:cstheme="majorBidi"/>
          <w:sz w:val="22"/>
          <w:lang w:val="en-US"/>
        </w:rPr>
        <w:t xml:space="preserve">unrestricted &amp; </w:t>
      </w:r>
      <w:r w:rsidRPr="00AF557B">
        <w:rPr>
          <w:rFonts w:ascii="Lato" w:hAnsi="Lato" w:cstheme="majorBidi"/>
          <w:sz w:val="22"/>
          <w:lang w:val="en-US"/>
        </w:rPr>
        <w:t>unconditional</w:t>
      </w:r>
      <w:r w:rsidR="003955AD">
        <w:rPr>
          <w:rFonts w:ascii="Lato" w:hAnsi="Lato" w:cstheme="majorBidi"/>
          <w:sz w:val="22"/>
          <w:lang w:val="en-US"/>
        </w:rPr>
        <w:t xml:space="preserve"> </w:t>
      </w:r>
      <w:r w:rsidRPr="00AF557B">
        <w:rPr>
          <w:rFonts w:ascii="Lato" w:hAnsi="Lato" w:cstheme="majorBidi"/>
          <w:sz w:val="22"/>
          <w:lang w:val="en-US"/>
        </w:rPr>
        <w:t xml:space="preserve"> and </w:t>
      </w:r>
      <w:r w:rsidR="004E27F9">
        <w:rPr>
          <w:rFonts w:ascii="Lato" w:hAnsi="Lato" w:cstheme="majorBidi"/>
          <w:sz w:val="22"/>
          <w:lang w:val="en-US"/>
        </w:rPr>
        <w:t>unrestricted&amp;</w:t>
      </w:r>
      <w:r w:rsidRPr="00AF557B">
        <w:rPr>
          <w:rFonts w:ascii="Lato" w:hAnsi="Lato" w:cstheme="majorBidi"/>
          <w:sz w:val="22"/>
          <w:lang w:val="en-US"/>
        </w:rPr>
        <w:t xml:space="preserve">conditional cash transfers, </w:t>
      </w:r>
      <w:r w:rsidR="1891A908" w:rsidRPr="7AAEA76C">
        <w:rPr>
          <w:rFonts w:ascii="Lato" w:hAnsi="Lato" w:cstheme="majorBidi"/>
          <w:sz w:val="22"/>
          <w:lang w:val="en-US"/>
        </w:rPr>
        <w:t>due to the conflict sensitivity measures put in place by targeting all households on any given site</w:t>
      </w:r>
      <w:r w:rsidRPr="00AF557B">
        <w:rPr>
          <w:rFonts w:ascii="Lato" w:hAnsi="Lato" w:cstheme="majorBidi"/>
          <w:sz w:val="22"/>
          <w:lang w:val="en-US"/>
        </w:rPr>
        <w:t>.</w:t>
      </w:r>
      <w:r w:rsidR="4966E16E" w:rsidRPr="7AAEA76C">
        <w:rPr>
          <w:rFonts w:ascii="Lato" w:hAnsi="Lato" w:cstheme="majorBidi"/>
          <w:sz w:val="22"/>
          <w:lang w:val="en-US"/>
        </w:rPr>
        <w:t xml:space="preserve"> </w:t>
      </w:r>
      <w:r w:rsidR="4966E16E" w:rsidRPr="04682F2F">
        <w:rPr>
          <w:rFonts w:ascii="Lato" w:hAnsi="Lato" w:cstheme="majorBidi"/>
          <w:sz w:val="22"/>
          <w:lang w:val="en-US"/>
        </w:rPr>
        <w:t>The difference in budgeted support was used to finance site cleanup and school improvements in preparation for the return to school.</w:t>
      </w:r>
    </w:p>
    <w:p w14:paraId="5BDCA8E6" w14:textId="77777777" w:rsidR="00823953" w:rsidRPr="00AF557B" w:rsidRDefault="00823953" w:rsidP="008330E1">
      <w:pPr>
        <w:spacing w:after="200"/>
        <w:rPr>
          <w:rFonts w:ascii="Lato" w:hAnsi="Lato" w:cstheme="majorBidi"/>
          <w:sz w:val="22"/>
          <w:lang w:val="en-US"/>
        </w:rPr>
      </w:pPr>
    </w:p>
    <w:p w14:paraId="394D2581" w14:textId="426050DD" w:rsidR="008330E1" w:rsidRDefault="008330E1" w:rsidP="008330E1">
      <w:pPr>
        <w:spacing w:after="200"/>
        <w:rPr>
          <w:rFonts w:ascii="Lato" w:hAnsi="Lato" w:cstheme="majorBidi"/>
          <w:sz w:val="22"/>
          <w:lang w:val="en-US"/>
        </w:rPr>
      </w:pPr>
      <w:r w:rsidRPr="00AF557B">
        <w:rPr>
          <w:rFonts w:ascii="Lato" w:hAnsi="Lato" w:cstheme="majorBidi"/>
          <w:sz w:val="22"/>
          <w:lang w:val="en-US"/>
        </w:rPr>
        <w:t xml:space="preserve">For the first payment, </w:t>
      </w:r>
      <w:r w:rsidR="008E293B">
        <w:rPr>
          <w:rFonts w:ascii="Lato" w:hAnsi="Lato" w:cstheme="majorBidi"/>
          <w:sz w:val="22"/>
          <w:lang w:val="en-US"/>
        </w:rPr>
        <w:t>the</w:t>
      </w:r>
      <w:r w:rsidRPr="00AF557B">
        <w:rPr>
          <w:rFonts w:ascii="Lato" w:hAnsi="Lato" w:cstheme="majorBidi"/>
          <w:sz w:val="22"/>
          <w:lang w:val="en-US"/>
        </w:rPr>
        <w:t xml:space="preserve"> beneficiar</w:t>
      </w:r>
      <w:r w:rsidR="008E293B">
        <w:rPr>
          <w:rFonts w:ascii="Lato" w:hAnsi="Lato" w:cstheme="majorBidi"/>
          <w:sz w:val="22"/>
          <w:lang w:val="en-US"/>
        </w:rPr>
        <w:t>ies</w:t>
      </w:r>
      <w:r w:rsidRPr="00AF557B">
        <w:rPr>
          <w:rFonts w:ascii="Lato" w:hAnsi="Lato" w:cstheme="majorBidi"/>
          <w:sz w:val="22"/>
          <w:lang w:val="en-US"/>
        </w:rPr>
        <w:t xml:space="preserve"> received 51,050 gourdes, which included 1,050 gourdes for withdrawal fees, as the cash distribution mechanism used was mobile money transfers. The second payment amounted to 20,640 gourdes, including 640 gourdes for withdrawal fees. The amounts distributed were aligned with the Cash Working Group's guidelines but primarily followed the Shelter and NFI Cluster recommendations of 50,000 gourdes for rent support. The second transfer adhered to Cash Working Group recommendations to address families’ multisectoral needs.</w:t>
      </w:r>
    </w:p>
    <w:p w14:paraId="029E93EB" w14:textId="77777777" w:rsidR="00823953" w:rsidRPr="00AF557B" w:rsidRDefault="00823953" w:rsidP="008330E1">
      <w:pPr>
        <w:spacing w:after="200"/>
        <w:rPr>
          <w:rFonts w:ascii="Lato" w:hAnsi="Lato" w:cstheme="majorBidi"/>
          <w:sz w:val="22"/>
          <w:lang w:val="en-US"/>
        </w:rPr>
      </w:pPr>
    </w:p>
    <w:p w14:paraId="74483AD5" w14:textId="233A86FB" w:rsidR="008330E1" w:rsidRPr="00AF557B" w:rsidRDefault="008330E1" w:rsidP="008330E1">
      <w:pPr>
        <w:spacing w:after="200"/>
        <w:rPr>
          <w:rFonts w:ascii="Lato" w:hAnsi="Lato" w:cstheme="majorBidi"/>
          <w:sz w:val="22"/>
          <w:lang w:val="en-US"/>
        </w:rPr>
      </w:pPr>
      <w:r w:rsidRPr="00AF557B">
        <w:rPr>
          <w:rFonts w:ascii="Lato" w:hAnsi="Lato" w:cstheme="majorBidi"/>
          <w:sz w:val="22"/>
          <w:lang w:val="en-US"/>
        </w:rPr>
        <w:t xml:space="preserve">Post-Distribution Monitoring (PDM) revealed that the majority of respondents (73%) used the cash to meet housing needs, followed by 48.3% who used it for food. </w:t>
      </w:r>
    </w:p>
    <w:p w14:paraId="72733B26" w14:textId="1205FB90" w:rsidR="7DBADE61" w:rsidRDefault="7DBADE61" w:rsidP="6993808C">
      <w:pPr>
        <w:spacing w:after="200"/>
        <w:rPr>
          <w:rFonts w:ascii="Lato" w:hAnsi="Lato" w:cstheme="majorBidi"/>
          <w:sz w:val="22"/>
        </w:rPr>
      </w:pPr>
    </w:p>
    <w:p w14:paraId="04CD74B5" w14:textId="2E4F8AE1" w:rsidR="54269D95" w:rsidRDefault="54269D95" w:rsidP="6993808C">
      <w:pPr>
        <w:spacing w:after="200"/>
        <w:rPr>
          <w:rFonts w:ascii="Lato" w:hAnsi="Lato" w:cstheme="majorBidi"/>
          <w:b/>
          <w:bCs/>
          <w:sz w:val="22"/>
        </w:rPr>
      </w:pPr>
      <w:r w:rsidRPr="6993808C">
        <w:rPr>
          <w:rFonts w:ascii="Lato" w:hAnsi="Lato" w:cstheme="majorBidi"/>
          <w:b/>
          <w:bCs/>
          <w:sz w:val="22"/>
        </w:rPr>
        <w:t>Localization (LOC)</w:t>
      </w:r>
    </w:p>
    <w:p w14:paraId="597B3331" w14:textId="66BB14B6" w:rsidR="57BE54B3" w:rsidRDefault="57BE54B3" w:rsidP="4CA2BE91">
      <w:pPr>
        <w:spacing w:after="200"/>
        <w:rPr>
          <w:rFonts w:ascii="Lato" w:eastAsia="Lato" w:hAnsi="Lato" w:cs="Lato"/>
          <w:sz w:val="22"/>
        </w:rPr>
      </w:pPr>
      <w:r w:rsidRPr="4CA2BE91">
        <w:rPr>
          <w:rFonts w:ascii="Lato" w:eastAsia="Lato" w:hAnsi="Lato" w:cs="Lato"/>
          <w:sz w:val="22"/>
        </w:rPr>
        <w:t xml:space="preserve"> The localization sector exceeded expectations, with 67 representatives from 22 national or local actors benefiting from capacity-strengthening initiatives, surpassing the target of 45. This represents a 48.89% variance, indicating a significant increase in engagement. This outcome highlights the need to continue prioritizing localized capacity building to foster stronger partnerships and ensure the sustainability of interventions.</w:t>
      </w:r>
    </w:p>
    <w:p w14:paraId="3AEBBF5E" w14:textId="2681B4A3" w:rsidR="6993808C" w:rsidRDefault="6993808C" w:rsidP="6993808C">
      <w:pPr>
        <w:spacing w:after="200"/>
        <w:rPr>
          <w:rFonts w:ascii="Lato" w:hAnsi="Lato" w:cstheme="majorBidi"/>
          <w:sz w:val="22"/>
        </w:rPr>
      </w:pPr>
    </w:p>
    <w:p w14:paraId="11B58674" w14:textId="6C5C335F" w:rsidR="54269D95" w:rsidRDefault="54269D95" w:rsidP="6993808C">
      <w:pPr>
        <w:spacing w:after="200"/>
        <w:rPr>
          <w:rFonts w:ascii="Lato" w:hAnsi="Lato" w:cstheme="majorBidi"/>
          <w:b/>
          <w:bCs/>
          <w:sz w:val="22"/>
        </w:rPr>
      </w:pPr>
      <w:r w:rsidRPr="6993808C">
        <w:rPr>
          <w:rFonts w:ascii="Lato" w:hAnsi="Lato" w:cstheme="majorBidi"/>
          <w:b/>
          <w:bCs/>
          <w:sz w:val="22"/>
        </w:rPr>
        <w:t>Accountability (ACC)</w:t>
      </w:r>
    </w:p>
    <w:p w14:paraId="67E8B2FA" w14:textId="1AC0E715" w:rsidR="54269D95" w:rsidRPr="00B30EAE" w:rsidRDefault="54269D95" w:rsidP="4CA2BE91">
      <w:pPr>
        <w:spacing w:after="200"/>
        <w:rPr>
          <w:rFonts w:ascii="Lato" w:eastAsia="Lato" w:hAnsi="Lato" w:cs="Lato"/>
          <w:sz w:val="22"/>
        </w:rPr>
      </w:pPr>
      <w:r w:rsidRPr="00B30EAE">
        <w:rPr>
          <w:rFonts w:ascii="Lato" w:eastAsia="Lato" w:hAnsi="Lato" w:cs="Lato"/>
          <w:sz w:val="22"/>
        </w:rPr>
        <w:t xml:space="preserve">Accountability showed promising results, with high satisfaction levels </w:t>
      </w:r>
      <w:r w:rsidR="3F1D7011" w:rsidRPr="00B30EAE">
        <w:rPr>
          <w:rFonts w:ascii="Lato" w:eastAsia="Lato" w:hAnsi="Lato" w:cs="Lato"/>
          <w:sz w:val="22"/>
        </w:rPr>
        <w:t>with the safety, accessibility, and accountability of assistance, with scores of 74% at Ecole Nationale Republique de Colombie and 82% at Ecole Nationale Joseph Bernard de Frere. Additionally,</w:t>
      </w:r>
      <w:r w:rsidRPr="00B30EAE">
        <w:rPr>
          <w:rFonts w:ascii="Lato" w:eastAsia="Lato" w:hAnsi="Lato" w:cs="Lato"/>
          <w:sz w:val="22"/>
        </w:rPr>
        <w:t xml:space="preserve"> </w:t>
      </w:r>
      <w:r w:rsidR="08310778" w:rsidRPr="00B30EAE">
        <w:rPr>
          <w:rFonts w:ascii="Lato" w:eastAsia="Lato" w:hAnsi="Lato" w:cs="Lato"/>
          <w:sz w:val="22"/>
        </w:rPr>
        <w:t>73.2% of affected individuals reported active involvement in various phases of the response, indicating substantial efforts in participatory engagement</w:t>
      </w:r>
      <w:r w:rsidRPr="00B30EAE">
        <w:rPr>
          <w:rFonts w:ascii="Lato" w:eastAsia="Lato" w:hAnsi="Lato" w:cs="Lato"/>
          <w:sz w:val="22"/>
        </w:rPr>
        <w:t xml:space="preserve">. </w:t>
      </w:r>
      <w:r w:rsidR="21075E49" w:rsidRPr="00B30EAE">
        <w:rPr>
          <w:rFonts w:ascii="Lato" w:eastAsia="Lato" w:hAnsi="Lato" w:cs="Lato"/>
          <w:sz w:val="22"/>
        </w:rPr>
        <w:t>Following our coordination mechanisms with school administrations, a request for cleaning and painting was made to facilitate a safe return to a clean environment. This request was approved and allowed the response to be adapted by incorporating the cleaning and painting of the École Nationale Joseph Bernard in Frère.</w:t>
      </w:r>
    </w:p>
    <w:p w14:paraId="7F7062BE" w14:textId="58515078" w:rsidR="6993808C" w:rsidRDefault="6993808C" w:rsidP="6993808C">
      <w:pPr>
        <w:spacing w:after="200"/>
        <w:rPr>
          <w:rFonts w:ascii="Lato" w:hAnsi="Lato" w:cstheme="majorBidi"/>
          <w:sz w:val="22"/>
        </w:rPr>
      </w:pPr>
    </w:p>
    <w:p w14:paraId="0C2ACC35" w14:textId="308C80AA" w:rsidR="4FA036E4" w:rsidRDefault="4FA036E4" w:rsidP="4CA2BE91">
      <w:pPr>
        <w:spacing w:after="200"/>
        <w:rPr>
          <w:rFonts w:ascii="Lato" w:hAnsi="Lato" w:cstheme="majorBidi"/>
          <w:sz w:val="22"/>
        </w:rPr>
      </w:pPr>
      <w:r w:rsidRPr="4CA2BE91">
        <w:rPr>
          <w:rFonts w:ascii="Lato" w:hAnsi="Lato" w:cstheme="majorBidi"/>
          <w:sz w:val="22"/>
        </w:rPr>
        <w:t xml:space="preserve">Overall, the project demonstrated strong achievements, particularly in the education and protection sectors, where most targets were met or exceeded. The multi-purpose cash sector </w:t>
      </w:r>
      <w:r w:rsidR="3F625728" w:rsidRPr="4CA2BE91">
        <w:rPr>
          <w:rFonts w:ascii="Lato" w:hAnsi="Lato" w:cstheme="majorBidi"/>
          <w:sz w:val="22"/>
        </w:rPr>
        <w:t>achieved its objectives</w:t>
      </w:r>
      <w:r w:rsidRPr="4CA2BE91">
        <w:rPr>
          <w:rFonts w:ascii="Lato" w:hAnsi="Lato" w:cstheme="majorBidi"/>
          <w:sz w:val="22"/>
        </w:rPr>
        <w:t xml:space="preserve"> </w:t>
      </w:r>
      <w:r w:rsidR="22945B76" w:rsidRPr="4CA2BE91">
        <w:rPr>
          <w:rFonts w:ascii="Lato" w:hAnsi="Lato" w:cstheme="majorBidi"/>
          <w:sz w:val="22"/>
        </w:rPr>
        <w:t>despite the target beneficiary revision due to the conflict sensitivity strategy put in place at the sites</w:t>
      </w:r>
      <w:r w:rsidRPr="4CA2BE91">
        <w:rPr>
          <w:rFonts w:ascii="Lato" w:hAnsi="Lato" w:cstheme="majorBidi"/>
          <w:sz w:val="22"/>
        </w:rPr>
        <w:t xml:space="preserve">. The accountability sector performed well, with high beneficiary </w:t>
      </w:r>
      <w:r w:rsidRPr="4CA2BE91">
        <w:rPr>
          <w:rFonts w:ascii="Lato" w:hAnsi="Lato" w:cstheme="majorBidi"/>
          <w:sz w:val="22"/>
        </w:rPr>
        <w:lastRenderedPageBreak/>
        <w:t>satisfaction and involvement, although further efforts are needed to incorporate feedback into program adaptations</w:t>
      </w:r>
      <w:r w:rsidR="2905D96F" w:rsidRPr="4CA2BE91">
        <w:rPr>
          <w:rFonts w:ascii="Lato" w:hAnsi="Lato" w:cstheme="majorBidi"/>
          <w:sz w:val="22"/>
        </w:rPr>
        <w:t xml:space="preserve"> of future iterations of the tested interventions on longer-term initiatives</w:t>
      </w:r>
      <w:r w:rsidRPr="4CA2BE91">
        <w:rPr>
          <w:rFonts w:ascii="Lato" w:hAnsi="Lato" w:cstheme="majorBidi"/>
          <w:sz w:val="22"/>
        </w:rPr>
        <w:t>. These findings indicate the project’s overall positive impact while identifying areas where strategic improvements could enhance future outcomes.</w:t>
      </w:r>
    </w:p>
    <w:p w14:paraId="24E8519B" w14:textId="77777777" w:rsidR="00E111F2" w:rsidRPr="007865AF" w:rsidRDefault="00E111F2" w:rsidP="00D11FAF">
      <w:pPr>
        <w:spacing w:after="200"/>
        <w:rPr>
          <w:rFonts w:ascii="Lato" w:hAnsi="Lato" w:cstheme="majorBidi"/>
          <w:sz w:val="22"/>
        </w:rPr>
      </w:pPr>
    </w:p>
    <w:p w14:paraId="11B7734C" w14:textId="384CC589" w:rsidR="00B17BB3" w:rsidRPr="007865AF" w:rsidRDefault="00F96EB7" w:rsidP="00FC06B3">
      <w:pPr>
        <w:pStyle w:val="ListParagraph"/>
        <w:numPr>
          <w:ilvl w:val="0"/>
          <w:numId w:val="16"/>
        </w:numPr>
        <w:spacing w:before="0" w:after="200"/>
        <w:ind w:left="360"/>
        <w:rPr>
          <w:rFonts w:ascii="Lato" w:hAnsi="Lato" w:cstheme="majorBidi"/>
          <w:sz w:val="22"/>
        </w:rPr>
      </w:pPr>
      <w:r w:rsidRPr="007865AF">
        <w:rPr>
          <w:rFonts w:ascii="Lato" w:hAnsi="Lato" w:cstheme="majorBidi"/>
          <w:b/>
          <w:sz w:val="22"/>
        </w:rPr>
        <w:t>Affected Persons</w:t>
      </w:r>
      <w:r w:rsidR="00F1405D" w:rsidRPr="007865AF">
        <w:rPr>
          <w:rFonts w:ascii="Lato" w:hAnsi="Lato" w:cstheme="majorBidi"/>
          <w:sz w:val="22"/>
        </w:rPr>
        <w:t>:</w:t>
      </w:r>
      <w:r w:rsidR="00FC3EF9" w:rsidRPr="007865AF">
        <w:rPr>
          <w:rFonts w:ascii="Lato" w:hAnsi="Lato" w:cstheme="majorBidi"/>
          <w:sz w:val="22"/>
        </w:rPr>
        <w:t xml:space="preserve"> </w:t>
      </w:r>
    </w:p>
    <w:p w14:paraId="5798FF31" w14:textId="0BD3AFCD" w:rsidR="00C129D6" w:rsidRPr="007865AF" w:rsidRDefault="00C129D6" w:rsidP="7DA89621">
      <w:pPr>
        <w:rPr>
          <w:rFonts w:ascii="Lato" w:hAnsi="Lato"/>
          <w:sz w:val="22"/>
        </w:rPr>
      </w:pPr>
      <w:r w:rsidRPr="7DA89621">
        <w:rPr>
          <w:rFonts w:ascii="Lato" w:hAnsi="Lato"/>
          <w:sz w:val="22"/>
        </w:rPr>
        <w:t>The selection of the two sites for the relocation of internally displaced persons (IDPs) was carried out in close coordination with the Directorate of Civil Protection (DPC)</w:t>
      </w:r>
      <w:r w:rsidR="27AD4693" w:rsidRPr="7DA89621">
        <w:rPr>
          <w:rFonts w:ascii="Lato" w:hAnsi="Lato"/>
          <w:sz w:val="22"/>
        </w:rPr>
        <w:t>,</w:t>
      </w:r>
      <w:r w:rsidRPr="7DA89621">
        <w:rPr>
          <w:rFonts w:ascii="Lato" w:hAnsi="Lato"/>
          <w:sz w:val="22"/>
        </w:rPr>
        <w:t xml:space="preserve"> the </w:t>
      </w:r>
      <w:r w:rsidR="1DD26740" w:rsidRPr="7DA89621">
        <w:rPr>
          <w:rFonts w:ascii="Lato" w:hAnsi="Lato"/>
          <w:sz w:val="22"/>
        </w:rPr>
        <w:t>CCCM</w:t>
      </w:r>
      <w:r w:rsidRPr="7DA89621">
        <w:rPr>
          <w:rFonts w:ascii="Lato" w:hAnsi="Lato"/>
          <w:sz w:val="22"/>
        </w:rPr>
        <w:t xml:space="preserve"> Cluster</w:t>
      </w:r>
      <w:r w:rsidR="53D04C93" w:rsidRPr="7DA89621">
        <w:rPr>
          <w:rFonts w:ascii="Lato" w:hAnsi="Lato"/>
          <w:sz w:val="22"/>
        </w:rPr>
        <w:t>, the Cash Working Group and the Education Cluster</w:t>
      </w:r>
      <w:r w:rsidRPr="7DA89621">
        <w:rPr>
          <w:rFonts w:ascii="Lato" w:hAnsi="Lato"/>
          <w:sz w:val="22"/>
        </w:rPr>
        <w:t>. This collaborative approach ensured that the sites identified were legitimate displacement sites and that the heads of households present on these sites were in genuine need of immediate and coordinated assistance. The two sites selected were École Nationale République de Colombie and École Nationale Joseph Bernard de Frère,</w:t>
      </w:r>
      <w:r w:rsidR="002F1434">
        <w:rPr>
          <w:rFonts w:ascii="Lato" w:hAnsi="Lato"/>
          <w:sz w:val="22"/>
        </w:rPr>
        <w:t xml:space="preserve"> in </w:t>
      </w:r>
      <w:r w:rsidR="002F1434" w:rsidRPr="7DA89621">
        <w:rPr>
          <w:rFonts w:ascii="Lato" w:eastAsia="Lato" w:hAnsi="Lato" w:cs="Lato"/>
          <w:sz w:val="22"/>
        </w:rPr>
        <w:t>Croix-des-Bouquets</w:t>
      </w:r>
      <w:r w:rsidRPr="7DA89621">
        <w:rPr>
          <w:rFonts w:ascii="Lato" w:hAnsi="Lato"/>
          <w:sz w:val="22"/>
        </w:rPr>
        <w:t xml:space="preserve"> where all the households were identified as displaced due to armed violence. The selection criteria confirmed that these families were highly vulnerable and required urgent support to secure safer living conditions.</w:t>
      </w:r>
    </w:p>
    <w:p w14:paraId="2382DE28" w14:textId="77777777" w:rsidR="00C129D6" w:rsidRPr="007865AF" w:rsidRDefault="00C129D6" w:rsidP="00A4712F">
      <w:pPr>
        <w:rPr>
          <w:rFonts w:ascii="Lato" w:hAnsi="Lato"/>
          <w:sz w:val="22"/>
        </w:rPr>
      </w:pPr>
    </w:p>
    <w:p w14:paraId="6E9178D3" w14:textId="047B2A99" w:rsidR="00C129D6" w:rsidRPr="007865AF" w:rsidRDefault="00C129D6" w:rsidP="7DA89621">
      <w:pPr>
        <w:rPr>
          <w:rFonts w:ascii="Lato" w:hAnsi="Lato"/>
          <w:sz w:val="22"/>
        </w:rPr>
      </w:pPr>
      <w:r w:rsidRPr="7DA89621">
        <w:rPr>
          <w:rFonts w:ascii="Lato" w:hAnsi="Lato"/>
          <w:sz w:val="22"/>
        </w:rPr>
        <w:t>To facilitate a comprehensive and effective intervention, the project opted to assist all the households present on these two sites. This decision not only addressed the immediate needs of the IDPs but also created the opportunity for educational activities to resume in these schools once the displaced families vacated the premises</w:t>
      </w:r>
      <w:r w:rsidR="19C068F3" w:rsidRPr="7DA89621">
        <w:rPr>
          <w:rFonts w:ascii="Lato" w:hAnsi="Lato"/>
          <w:sz w:val="22"/>
        </w:rPr>
        <w:t>, while also mitigating conflict risks</w:t>
      </w:r>
      <w:r w:rsidRPr="7DA89621">
        <w:rPr>
          <w:rFonts w:ascii="Lato" w:hAnsi="Lato"/>
          <w:sz w:val="22"/>
        </w:rPr>
        <w:t>. The relocation of these families to safer shelters was an essential step in restoring the schools as functional and secure spaces for students.</w:t>
      </w:r>
    </w:p>
    <w:p w14:paraId="5DD51DC1" w14:textId="77777777" w:rsidR="00C129D6" w:rsidRPr="007865AF" w:rsidRDefault="00C129D6" w:rsidP="00A4712F">
      <w:pPr>
        <w:rPr>
          <w:rFonts w:ascii="Lato" w:hAnsi="Lato"/>
          <w:sz w:val="22"/>
        </w:rPr>
      </w:pPr>
    </w:p>
    <w:p w14:paraId="53E34C8E" w14:textId="77777777" w:rsidR="00C129D6" w:rsidRPr="007865AF" w:rsidRDefault="00C129D6" w:rsidP="00A4712F">
      <w:pPr>
        <w:rPr>
          <w:rFonts w:ascii="Lato" w:hAnsi="Lato"/>
          <w:sz w:val="22"/>
        </w:rPr>
      </w:pPr>
      <w:r w:rsidRPr="007865AF">
        <w:rPr>
          <w:rFonts w:ascii="Lato" w:hAnsi="Lato"/>
          <w:sz w:val="22"/>
        </w:rPr>
        <w:t>For the Lèkol Katye activities, the choice of schools and community learning spaces was guided by specific criteria aimed at reaching the most vulnerable children. These criteria included the proximity of students to the learning spaces, their academic needs (with a focus on addressing learning gaps), and their socio-economic backgrounds. Priority was given to children from households affected by violence, extreme poverty, or precarious living conditions. Gender equity was also a key consideration, ensuring that both girls and boys had equal access to educational opportunities.</w:t>
      </w:r>
    </w:p>
    <w:p w14:paraId="51FCBC73" w14:textId="77777777" w:rsidR="00C129D6" w:rsidRPr="007865AF" w:rsidRDefault="00C129D6" w:rsidP="00A4712F">
      <w:pPr>
        <w:rPr>
          <w:rFonts w:ascii="Lato" w:hAnsi="Lato"/>
          <w:sz w:val="22"/>
        </w:rPr>
      </w:pPr>
    </w:p>
    <w:p w14:paraId="38EE81C2" w14:textId="3C8D0E87" w:rsidR="2CDC475C" w:rsidRDefault="00C129D6" w:rsidP="004A71B1">
      <w:pPr>
        <w:rPr>
          <w:rFonts w:ascii="Lato" w:hAnsi="Lato"/>
          <w:sz w:val="22"/>
        </w:rPr>
      </w:pPr>
      <w:r w:rsidRPr="239F5A57">
        <w:rPr>
          <w:rFonts w:ascii="Lato" w:hAnsi="Lato"/>
          <w:sz w:val="22"/>
        </w:rPr>
        <w:t>The inclusive targeting strategy ensured that interventions reached those most affected by displacement and violence, while also aligning with broader goals of restoring educational access and creating safe, supportive environments for vulnerable children.</w:t>
      </w:r>
    </w:p>
    <w:p w14:paraId="7FAE2CDB" w14:textId="77777777" w:rsidR="004A71B1" w:rsidRPr="004A71B1" w:rsidRDefault="004A71B1" w:rsidP="004A71B1">
      <w:pPr>
        <w:rPr>
          <w:rFonts w:ascii="Lato" w:hAnsi="Lato"/>
          <w:sz w:val="22"/>
        </w:rPr>
      </w:pPr>
    </w:p>
    <w:p w14:paraId="004D6CBE" w14:textId="77777777" w:rsidR="007D7885" w:rsidRPr="007865AF" w:rsidRDefault="00F1405D" w:rsidP="008E4B9A">
      <w:pPr>
        <w:pStyle w:val="ListParagraph"/>
        <w:numPr>
          <w:ilvl w:val="0"/>
          <w:numId w:val="16"/>
        </w:numPr>
        <w:spacing w:before="0" w:after="200"/>
        <w:ind w:left="360"/>
        <w:rPr>
          <w:rFonts w:ascii="Lato" w:hAnsi="Lato" w:cstheme="majorBidi"/>
          <w:sz w:val="22"/>
        </w:rPr>
      </w:pPr>
      <w:r w:rsidRPr="007865AF">
        <w:rPr>
          <w:rFonts w:ascii="Lato" w:hAnsi="Lato" w:cstheme="majorBidi"/>
          <w:b/>
          <w:sz w:val="22"/>
        </w:rPr>
        <w:t xml:space="preserve">Participation of </w:t>
      </w:r>
      <w:r w:rsidR="00706B5B" w:rsidRPr="007865AF">
        <w:rPr>
          <w:rFonts w:ascii="Lato" w:hAnsi="Lato" w:cstheme="majorBidi"/>
          <w:b/>
          <w:sz w:val="22"/>
        </w:rPr>
        <w:t xml:space="preserve">and Accountability to the </w:t>
      </w:r>
      <w:r w:rsidR="000A5143" w:rsidRPr="007865AF">
        <w:rPr>
          <w:rFonts w:ascii="Lato" w:hAnsi="Lato" w:cstheme="majorBidi"/>
          <w:b/>
          <w:sz w:val="22"/>
        </w:rPr>
        <w:t xml:space="preserve">Affected </w:t>
      </w:r>
      <w:r w:rsidRPr="007865AF">
        <w:rPr>
          <w:rFonts w:ascii="Lato" w:hAnsi="Lato" w:cstheme="majorBidi"/>
          <w:b/>
          <w:sz w:val="22"/>
        </w:rPr>
        <w:t>Population</w:t>
      </w:r>
      <w:r w:rsidRPr="007865AF">
        <w:rPr>
          <w:rFonts w:ascii="Lato" w:hAnsi="Lato" w:cstheme="majorBidi"/>
          <w:sz w:val="22"/>
        </w:rPr>
        <w:t xml:space="preserve">: </w:t>
      </w:r>
    </w:p>
    <w:p w14:paraId="61DB8414" w14:textId="0C62E703" w:rsidR="007D7885" w:rsidRPr="007865AF" w:rsidRDefault="007D7885" w:rsidP="007D7885">
      <w:pPr>
        <w:rPr>
          <w:rFonts w:ascii="Lato" w:hAnsi="Lato"/>
          <w:sz w:val="22"/>
        </w:rPr>
      </w:pPr>
      <w:r w:rsidRPr="007865AF">
        <w:rPr>
          <w:rFonts w:ascii="Lato" w:hAnsi="Lato"/>
          <w:sz w:val="22"/>
        </w:rPr>
        <w:t>The project was designed to ensure accountability to the affected population through proactive engagement and mechanisms that prioritized transparency, inclusivity, and responsiveness</w:t>
      </w:r>
      <w:r w:rsidR="001F50AD">
        <w:rPr>
          <w:rFonts w:ascii="Lato" w:hAnsi="Lato"/>
          <w:sz w:val="22"/>
        </w:rPr>
        <w:t xml:space="preserve"> and </w:t>
      </w:r>
      <w:r w:rsidR="001F50AD" w:rsidRPr="001F50AD">
        <w:rPr>
          <w:rFonts w:ascii="Lato" w:hAnsi="Lato"/>
          <w:sz w:val="22"/>
          <w:lang w:val="en-US"/>
        </w:rPr>
        <w:t>to ensure that all interventions adhere to the principle of "Do No Harm</w:t>
      </w:r>
      <w:r w:rsidR="37E0DF19" w:rsidRPr="75A3866B">
        <w:rPr>
          <w:rFonts w:ascii="Lato" w:hAnsi="Lato"/>
          <w:sz w:val="22"/>
          <w:lang w:val="en-US"/>
        </w:rPr>
        <w:t>”</w:t>
      </w:r>
      <w:r w:rsidRPr="007865AF">
        <w:rPr>
          <w:rFonts w:ascii="Lato" w:hAnsi="Lato"/>
          <w:sz w:val="22"/>
        </w:rPr>
        <w:t>. Save the Children</w:t>
      </w:r>
      <w:r w:rsidR="00B669A4">
        <w:rPr>
          <w:rFonts w:ascii="Lato" w:hAnsi="Lato"/>
          <w:sz w:val="22"/>
        </w:rPr>
        <w:t xml:space="preserve"> </w:t>
      </w:r>
      <w:r w:rsidR="00AC626B">
        <w:rPr>
          <w:rFonts w:ascii="Lato" w:hAnsi="Lato"/>
          <w:sz w:val="22"/>
        </w:rPr>
        <w:t>in cooperation with PRODEV</w:t>
      </w:r>
      <w:r w:rsidRPr="007865AF">
        <w:rPr>
          <w:rFonts w:ascii="Lato" w:hAnsi="Lato"/>
          <w:sz w:val="22"/>
        </w:rPr>
        <w:t xml:space="preserve"> implemented several measures to maximize accountability and ensure that the voices of crisis-affected individuals were heard and acted upon throughout the project cycle.</w:t>
      </w:r>
    </w:p>
    <w:p w14:paraId="3D66E395" w14:textId="77777777" w:rsidR="007D7885" w:rsidRPr="007865AF" w:rsidRDefault="007D7885" w:rsidP="007D7885">
      <w:pPr>
        <w:rPr>
          <w:rFonts w:ascii="Lato" w:hAnsi="Lato"/>
          <w:sz w:val="22"/>
        </w:rPr>
      </w:pPr>
    </w:p>
    <w:p w14:paraId="2F35AFAF" w14:textId="02155595" w:rsidR="007D7885" w:rsidRPr="007865AF" w:rsidRDefault="007D7885" w:rsidP="007D7885">
      <w:pPr>
        <w:rPr>
          <w:rFonts w:ascii="Lato" w:hAnsi="Lato"/>
          <w:sz w:val="22"/>
        </w:rPr>
      </w:pPr>
      <w:r w:rsidRPr="007865AF">
        <w:rPr>
          <w:rFonts w:ascii="Lato" w:hAnsi="Lato"/>
          <w:sz w:val="22"/>
        </w:rPr>
        <w:t xml:space="preserve">Information about the project, its objectives, and </w:t>
      </w:r>
      <w:r w:rsidR="005A05D6">
        <w:rPr>
          <w:rFonts w:ascii="Lato" w:hAnsi="Lato"/>
          <w:sz w:val="22"/>
        </w:rPr>
        <w:t xml:space="preserve">its </w:t>
      </w:r>
      <w:r w:rsidRPr="007865AF">
        <w:rPr>
          <w:rFonts w:ascii="Lato" w:hAnsi="Lato"/>
          <w:sz w:val="22"/>
        </w:rPr>
        <w:t xml:space="preserve">activities was shared with beneficiaries and stakeholders through accessible channels. For example, beneficiaries received awareness messages via the same phones used to receive cash transfers. These messages included details </w:t>
      </w:r>
      <w:r w:rsidRPr="007865AF">
        <w:rPr>
          <w:rFonts w:ascii="Lato" w:hAnsi="Lato"/>
          <w:sz w:val="22"/>
        </w:rPr>
        <w:lastRenderedPageBreak/>
        <w:t>about the project and instructions on how to provide feedback or file complaints. Additionally, the use of a national green line, along with WhatsApp messaging and suggestion boxes, facilitated direct communication between the beneficiaries and project teams. This ensured that feedback mechanisms were both accessible and responsive.</w:t>
      </w:r>
    </w:p>
    <w:p w14:paraId="39A19D46" w14:textId="77777777" w:rsidR="007D7885" w:rsidRPr="007865AF" w:rsidRDefault="007D7885" w:rsidP="007D7885">
      <w:pPr>
        <w:rPr>
          <w:rFonts w:ascii="Lato" w:hAnsi="Lato"/>
          <w:sz w:val="22"/>
        </w:rPr>
      </w:pPr>
    </w:p>
    <w:p w14:paraId="081B51F6" w14:textId="77777777" w:rsidR="007D7885" w:rsidRPr="007865AF" w:rsidRDefault="007D7885" w:rsidP="007D7885">
      <w:pPr>
        <w:rPr>
          <w:rFonts w:ascii="Lato" w:hAnsi="Lato"/>
          <w:sz w:val="22"/>
        </w:rPr>
      </w:pPr>
      <w:r w:rsidRPr="007865AF">
        <w:rPr>
          <w:rFonts w:ascii="Lato" w:hAnsi="Lato"/>
          <w:sz w:val="22"/>
        </w:rPr>
        <w:t>One significant example of accountability in action involved feedback received through the green line concerning École Nationale République de Colombie. Beneficiaries reported cases of duplicate names from the same household being listed as different heads of households. This information enabled the team to thoroughly review and cleanse the beneficiary lists, ensuring fairness and preventing misuse of resources. Similarly, the messages of gratitude received from beneficiaries reflected the effectiveness of the mechanism in promoting trust and engagement.</w:t>
      </w:r>
    </w:p>
    <w:p w14:paraId="1B240171" w14:textId="77777777" w:rsidR="007D7885" w:rsidRPr="007865AF" w:rsidRDefault="007D7885" w:rsidP="007D7885">
      <w:pPr>
        <w:rPr>
          <w:rFonts w:ascii="Lato" w:hAnsi="Lato"/>
          <w:sz w:val="22"/>
        </w:rPr>
      </w:pPr>
    </w:p>
    <w:p w14:paraId="4F5812EF" w14:textId="77777777" w:rsidR="007D7885" w:rsidRPr="007865AF" w:rsidRDefault="007D7885" w:rsidP="007D7885">
      <w:pPr>
        <w:rPr>
          <w:rFonts w:ascii="Lato" w:hAnsi="Lato"/>
          <w:sz w:val="22"/>
        </w:rPr>
      </w:pPr>
      <w:r w:rsidRPr="007865AF">
        <w:rPr>
          <w:rFonts w:ascii="Lato" w:hAnsi="Lato"/>
          <w:sz w:val="22"/>
        </w:rPr>
        <w:t>Another example was the response to feedback from school officials at École Nationale Joseph Bernard de Frère, who requested support to prepare the school for the return of students after the internally displaced persons (IDPs) vacated the premises. Based on this feedback, funds were allocated to clean and paint the school, creating a safe and conducive environment for academic activities. This adaptation demonstrated the project’s commitment to incorporating community inputs into decision-making processes.</w:t>
      </w:r>
    </w:p>
    <w:p w14:paraId="00DB2E39" w14:textId="77777777" w:rsidR="007D7885" w:rsidRPr="007865AF" w:rsidRDefault="007D7885" w:rsidP="007D7885">
      <w:pPr>
        <w:rPr>
          <w:rFonts w:ascii="Lato" w:hAnsi="Lato"/>
          <w:sz w:val="22"/>
        </w:rPr>
      </w:pPr>
    </w:p>
    <w:p w14:paraId="2EBCA60F" w14:textId="7479A08A" w:rsidR="007D7885" w:rsidRPr="007865AF" w:rsidRDefault="1E439B14" w:rsidP="2A2C638E">
      <w:pPr>
        <w:rPr>
          <w:rFonts w:ascii="Lato" w:hAnsi="Lato"/>
          <w:sz w:val="22"/>
        </w:rPr>
      </w:pPr>
      <w:r w:rsidRPr="2A2C638E">
        <w:rPr>
          <w:rFonts w:ascii="Lato" w:hAnsi="Lato"/>
          <w:sz w:val="22"/>
        </w:rPr>
        <w:t>Feedback received was systematically tracked and analyzed using tools such as complaint tracking tables and reports, which disaggregated cases by urgency, gender, and location.</w:t>
      </w:r>
      <w:r w:rsidR="5B1C12E5" w:rsidRPr="2A2C638E">
        <w:rPr>
          <w:rFonts w:ascii="Lato" w:hAnsi="Lato"/>
          <w:sz w:val="22"/>
        </w:rPr>
        <w:t xml:space="preserve"> Overall, a total of 92 feedback responses were collected: Thanks (32.6%); </w:t>
      </w:r>
      <w:r w:rsidR="21BDCC6D" w:rsidRPr="2A2C638E">
        <w:rPr>
          <w:rFonts w:ascii="Lato" w:hAnsi="Lato"/>
          <w:sz w:val="22"/>
        </w:rPr>
        <w:t xml:space="preserve">27 </w:t>
      </w:r>
      <w:r w:rsidR="7C8F0791" w:rsidRPr="2A2C638E">
        <w:rPr>
          <w:rFonts w:ascii="Lato" w:hAnsi="Lato"/>
          <w:sz w:val="22"/>
        </w:rPr>
        <w:t>i</w:t>
      </w:r>
      <w:r w:rsidR="5B1C12E5" w:rsidRPr="2A2C638E">
        <w:rPr>
          <w:rFonts w:ascii="Lato" w:hAnsi="Lato"/>
          <w:sz w:val="22"/>
        </w:rPr>
        <w:t xml:space="preserve">nformation </w:t>
      </w:r>
      <w:r w:rsidR="5266AA2B" w:rsidRPr="2A2C638E">
        <w:rPr>
          <w:rFonts w:ascii="Lato" w:hAnsi="Lato"/>
          <w:sz w:val="22"/>
        </w:rPr>
        <w:t>r</w:t>
      </w:r>
      <w:r w:rsidR="5B1C12E5" w:rsidRPr="2A2C638E">
        <w:rPr>
          <w:rFonts w:ascii="Lato" w:hAnsi="Lato"/>
          <w:sz w:val="22"/>
        </w:rPr>
        <w:t>equests (29.3%) about</w:t>
      </w:r>
      <w:r w:rsidR="1CBDB561" w:rsidRPr="2A2C638E">
        <w:rPr>
          <w:rFonts w:ascii="Lato" w:hAnsi="Lato"/>
          <w:sz w:val="22"/>
        </w:rPr>
        <w:t xml:space="preserve"> </w:t>
      </w:r>
      <w:r w:rsidR="5B1C12E5" w:rsidRPr="2A2C638E">
        <w:rPr>
          <w:rFonts w:ascii="Lato" w:hAnsi="Lato"/>
          <w:sz w:val="22"/>
        </w:rPr>
        <w:t>the project</w:t>
      </w:r>
      <w:r w:rsidR="4BAC6083" w:rsidRPr="2A2C638E">
        <w:rPr>
          <w:rFonts w:ascii="Lato" w:hAnsi="Lato"/>
          <w:sz w:val="22"/>
        </w:rPr>
        <w:t xml:space="preserve">; </w:t>
      </w:r>
      <w:r w:rsidR="2F444DFB" w:rsidRPr="2A2C638E">
        <w:rPr>
          <w:rFonts w:ascii="Lato" w:hAnsi="Lato"/>
          <w:sz w:val="22"/>
        </w:rPr>
        <w:t xml:space="preserve">16 </w:t>
      </w:r>
      <w:r w:rsidR="4BAC6083" w:rsidRPr="2A2C638E">
        <w:rPr>
          <w:rFonts w:ascii="Lato" w:hAnsi="Lato"/>
          <w:sz w:val="22"/>
        </w:rPr>
        <w:t>a</w:t>
      </w:r>
      <w:r w:rsidR="5B1C12E5" w:rsidRPr="2A2C638E">
        <w:rPr>
          <w:rFonts w:ascii="Lato" w:hAnsi="Lato"/>
          <w:sz w:val="22"/>
        </w:rPr>
        <w:t xml:space="preserve">ssistance </w:t>
      </w:r>
      <w:r w:rsidR="37F8D609" w:rsidRPr="2A2C638E">
        <w:rPr>
          <w:rFonts w:ascii="Lato" w:hAnsi="Lato"/>
          <w:sz w:val="22"/>
        </w:rPr>
        <w:t>r</w:t>
      </w:r>
      <w:r w:rsidR="5B1C12E5" w:rsidRPr="2A2C638E">
        <w:rPr>
          <w:rFonts w:ascii="Lato" w:hAnsi="Lato"/>
          <w:sz w:val="22"/>
        </w:rPr>
        <w:t>equests (17.4%)</w:t>
      </w:r>
      <w:r w:rsidR="4F6AE0CE" w:rsidRPr="2A2C638E">
        <w:rPr>
          <w:rFonts w:ascii="Lato" w:hAnsi="Lato"/>
          <w:sz w:val="22"/>
        </w:rPr>
        <w:t xml:space="preserve"> </w:t>
      </w:r>
      <w:r w:rsidR="5B1C12E5" w:rsidRPr="2A2C638E">
        <w:rPr>
          <w:rFonts w:ascii="Lato" w:hAnsi="Lato"/>
          <w:sz w:val="22"/>
        </w:rPr>
        <w:t>including 1 for tuition or school fees, 2 for medical assistance and 13 for economic and livelihood assistance</w:t>
      </w:r>
      <w:r w:rsidR="3206AB02" w:rsidRPr="2A2C638E">
        <w:rPr>
          <w:rFonts w:ascii="Lato" w:hAnsi="Lato"/>
          <w:sz w:val="22"/>
        </w:rPr>
        <w:t>; and "</w:t>
      </w:r>
      <w:r w:rsidR="667CCAC9" w:rsidRPr="2A2C638E">
        <w:rPr>
          <w:rFonts w:ascii="Lato" w:hAnsi="Lato"/>
          <w:sz w:val="22"/>
        </w:rPr>
        <w:t xml:space="preserve"> 10 </w:t>
      </w:r>
      <w:r w:rsidR="5B1C12E5" w:rsidRPr="2A2C638E">
        <w:rPr>
          <w:rFonts w:ascii="Lato" w:hAnsi="Lato"/>
          <w:sz w:val="22"/>
        </w:rPr>
        <w:t>Major and Minor Dissatisfactions/Suggestions</w:t>
      </w:r>
      <w:r w:rsidR="5D2D9C95" w:rsidRPr="2A2C638E">
        <w:rPr>
          <w:rFonts w:ascii="Lato" w:hAnsi="Lato"/>
          <w:sz w:val="22"/>
        </w:rPr>
        <w:t>"</w:t>
      </w:r>
      <w:r w:rsidR="5B1C12E5" w:rsidRPr="2A2C638E">
        <w:rPr>
          <w:rFonts w:ascii="Lato" w:hAnsi="Lato"/>
          <w:sz w:val="22"/>
        </w:rPr>
        <w:t xml:space="preserve"> (20.7%)</w:t>
      </w:r>
      <w:r w:rsidR="10A9E92F" w:rsidRPr="2A2C638E">
        <w:rPr>
          <w:rFonts w:ascii="Lato" w:hAnsi="Lato"/>
          <w:sz w:val="22"/>
        </w:rPr>
        <w:t xml:space="preserve"> </w:t>
      </w:r>
      <w:r w:rsidR="5B1C12E5" w:rsidRPr="2A2C638E">
        <w:rPr>
          <w:rFonts w:ascii="Lato" w:hAnsi="Lato"/>
          <w:sz w:val="22"/>
        </w:rPr>
        <w:t>including concerns about targeting, deadline compliance, phone number changes, and issues with cash distribution.</w:t>
      </w:r>
      <w:r w:rsidR="0AD663F6" w:rsidRPr="2A2C638E">
        <w:rPr>
          <w:rFonts w:ascii="Lato" w:hAnsi="Lato"/>
          <w:sz w:val="22"/>
        </w:rPr>
        <w:t xml:space="preserve"> </w:t>
      </w:r>
      <w:r w:rsidR="5B1C12E5" w:rsidRPr="2A2C638E">
        <w:rPr>
          <w:rFonts w:ascii="Lato" w:hAnsi="Lato"/>
          <w:sz w:val="22"/>
        </w:rPr>
        <w:t>These mechanisms strengthened transparency and the connection between project stakeholders.</w:t>
      </w:r>
    </w:p>
    <w:p w14:paraId="7388FA8D" w14:textId="29DE5362" w:rsidR="007D7885" w:rsidRPr="007865AF" w:rsidRDefault="007D7885" w:rsidP="43EABB83">
      <w:pPr>
        <w:rPr>
          <w:rFonts w:ascii="Lato" w:hAnsi="Lato"/>
          <w:sz w:val="22"/>
        </w:rPr>
      </w:pPr>
      <w:r w:rsidRPr="43EABB83">
        <w:rPr>
          <w:rFonts w:ascii="Lato" w:hAnsi="Lato"/>
          <w:sz w:val="22"/>
        </w:rPr>
        <w:t>Sensitive cases were addressed within 48 hours, while other complaints were resolved within 3 to 15 days, depending on their complexity. Local MEAL (Monitoring, Evaluation, Accountability, and Learning) teams summarized and escalated feedback to relevant focal points weekly, ensuring timely responses. Accountability reports were shared monthly with the Senior Management Team, and a comprehensive accountability report for this project is included in the annex.</w:t>
      </w:r>
    </w:p>
    <w:p w14:paraId="6900D5C1" w14:textId="77777777" w:rsidR="007D7885" w:rsidRPr="007865AF" w:rsidRDefault="007D7885" w:rsidP="007D7885">
      <w:pPr>
        <w:rPr>
          <w:rFonts w:ascii="Lato" w:hAnsi="Lato"/>
          <w:sz w:val="22"/>
        </w:rPr>
      </w:pPr>
    </w:p>
    <w:p w14:paraId="2D8CC545" w14:textId="60152D18" w:rsidR="00B1227B" w:rsidRDefault="007D7885" w:rsidP="007D7885">
      <w:pPr>
        <w:rPr>
          <w:rFonts w:ascii="Lato" w:hAnsi="Lato"/>
          <w:sz w:val="22"/>
        </w:rPr>
      </w:pPr>
      <w:r w:rsidRPr="007865AF">
        <w:rPr>
          <w:rFonts w:ascii="Lato" w:hAnsi="Lato"/>
          <w:sz w:val="22"/>
        </w:rPr>
        <w:t>By maintaining an open dialogue with the affected population and acting on their inputs, the project ensured that it remained aligned with their needs and priorities. This approach fostered trust, transparency, and a stronger sense of ownership among beneficiaries.</w:t>
      </w:r>
    </w:p>
    <w:p w14:paraId="5FDC59F2" w14:textId="77777777" w:rsidR="00131D0F" w:rsidRDefault="00131D0F" w:rsidP="007D7885">
      <w:pPr>
        <w:rPr>
          <w:rFonts w:ascii="Lato" w:hAnsi="Lato"/>
          <w:sz w:val="22"/>
        </w:rPr>
      </w:pPr>
    </w:p>
    <w:p w14:paraId="50CFD1E2" w14:textId="77777777" w:rsidR="00131D0F" w:rsidRPr="007865AF" w:rsidRDefault="00131D0F" w:rsidP="007D7885">
      <w:pPr>
        <w:rPr>
          <w:rFonts w:ascii="Lato" w:hAnsi="Lato"/>
          <w:sz w:val="22"/>
        </w:rPr>
      </w:pPr>
    </w:p>
    <w:p w14:paraId="408ABF36" w14:textId="62CDDF84" w:rsidR="00F1405D" w:rsidRPr="007865AF" w:rsidRDefault="00F1405D" w:rsidP="00FC06B3">
      <w:pPr>
        <w:pStyle w:val="ListParagraph"/>
        <w:numPr>
          <w:ilvl w:val="0"/>
          <w:numId w:val="16"/>
        </w:numPr>
        <w:spacing w:before="0" w:after="200"/>
        <w:ind w:left="360"/>
        <w:rPr>
          <w:rFonts w:ascii="Lato" w:hAnsi="Lato" w:cstheme="majorBidi"/>
          <w:sz w:val="22"/>
        </w:rPr>
      </w:pPr>
      <w:r w:rsidRPr="7DA89621">
        <w:rPr>
          <w:rFonts w:ascii="Lato" w:hAnsi="Lato" w:cstheme="majorBidi"/>
          <w:b/>
          <w:bCs/>
          <w:sz w:val="22"/>
        </w:rPr>
        <w:t>Risk Management</w:t>
      </w:r>
      <w:r w:rsidRPr="7DA89621">
        <w:rPr>
          <w:rFonts w:ascii="Lato" w:hAnsi="Lato" w:cstheme="majorBidi"/>
          <w:sz w:val="22"/>
        </w:rPr>
        <w:t xml:space="preserve">: Describe how risks to project/program implementation were </w:t>
      </w:r>
      <w:r w:rsidR="00074F33" w:rsidRPr="7DA89621">
        <w:rPr>
          <w:rFonts w:ascii="Lato" w:hAnsi="Lato" w:cstheme="majorBidi"/>
          <w:sz w:val="22"/>
        </w:rPr>
        <w:t xml:space="preserve">identified, </w:t>
      </w:r>
      <w:r w:rsidRPr="7DA89621">
        <w:rPr>
          <w:rFonts w:ascii="Lato" w:hAnsi="Lato" w:cstheme="majorBidi"/>
          <w:sz w:val="22"/>
        </w:rPr>
        <w:t>managed</w:t>
      </w:r>
      <w:r w:rsidR="00074F33" w:rsidRPr="7DA89621">
        <w:rPr>
          <w:rFonts w:ascii="Lato" w:hAnsi="Lato" w:cstheme="majorBidi"/>
          <w:sz w:val="22"/>
        </w:rPr>
        <w:t>,</w:t>
      </w:r>
      <w:r w:rsidRPr="7DA89621">
        <w:rPr>
          <w:rFonts w:ascii="Lato" w:hAnsi="Lato" w:cstheme="majorBidi"/>
          <w:sz w:val="22"/>
        </w:rPr>
        <w:t xml:space="preserve"> and mitigated, including any </w:t>
      </w:r>
      <w:r w:rsidR="00074F33" w:rsidRPr="7DA89621">
        <w:rPr>
          <w:rFonts w:ascii="Lato" w:hAnsi="Lato" w:cstheme="majorBidi"/>
          <w:sz w:val="22"/>
        </w:rPr>
        <w:t xml:space="preserve">operational, </w:t>
      </w:r>
      <w:r w:rsidRPr="7DA89621">
        <w:rPr>
          <w:rFonts w:ascii="Lato" w:hAnsi="Lato" w:cstheme="majorBidi"/>
          <w:sz w:val="22"/>
        </w:rPr>
        <w:t>security, financial, personnel management or other relevant risks.</w:t>
      </w:r>
      <w:r w:rsidR="000213E2" w:rsidRPr="7DA89621">
        <w:rPr>
          <w:rFonts w:ascii="Lato" w:hAnsi="Lato" w:cstheme="majorBidi"/>
          <w:sz w:val="22"/>
        </w:rPr>
        <w:t xml:space="preserve"> </w:t>
      </w:r>
      <w:r w:rsidR="00881881" w:rsidRPr="7DA89621">
        <w:rPr>
          <w:rFonts w:ascii="Lato" w:hAnsi="Lato" w:cstheme="majorBidi"/>
          <w:sz w:val="22"/>
        </w:rPr>
        <w:t xml:space="preserve">Reflect on to what extent the risk analysis in the proposal was validated by actual risks identified during </w:t>
      </w:r>
      <w:r w:rsidR="00212CB8" w:rsidRPr="7DA89621">
        <w:rPr>
          <w:rFonts w:ascii="Lato" w:hAnsi="Lato" w:cstheme="majorBidi"/>
          <w:sz w:val="22"/>
        </w:rPr>
        <w:t>implementation. (</w:t>
      </w:r>
      <w:r w:rsidR="000213E2" w:rsidRPr="7DA89621">
        <w:rPr>
          <w:rFonts w:ascii="Lato" w:hAnsi="Lato" w:cstheme="majorBidi"/>
          <w:sz w:val="22"/>
        </w:rPr>
        <w:t>Suggested length: 1</w:t>
      </w:r>
      <w:r w:rsidR="009F564D" w:rsidRPr="7DA89621">
        <w:rPr>
          <w:rFonts w:ascii="Lato" w:hAnsi="Lato" w:cstheme="majorBidi"/>
          <w:sz w:val="22"/>
        </w:rPr>
        <w:t xml:space="preserve"> page)</w:t>
      </w:r>
    </w:p>
    <w:p w14:paraId="7AD1B627" w14:textId="45B1AEB9" w:rsidR="004A0FDF" w:rsidRDefault="44760E64" w:rsidP="7DA89621">
      <w:pPr>
        <w:rPr>
          <w:rFonts w:ascii="Lato" w:eastAsia="Lato" w:hAnsi="Lato" w:cs="Lato"/>
          <w:sz w:val="22"/>
          <w:lang w:val="en-US"/>
        </w:rPr>
      </w:pPr>
      <w:r w:rsidRPr="7DA89621">
        <w:rPr>
          <w:rFonts w:ascii="Lato" w:eastAsia="Lato" w:hAnsi="Lato" w:cs="Lato"/>
          <w:sz w:val="22"/>
          <w:lang w:val="en-US"/>
        </w:rPr>
        <w:t>The implementation of this project in Haiti involved a comprehensive risk management strategy to address multiple operational, security, financial, and personnel risks identified in the proposal. These risks were carefully analyzed and mitigated through specific measures tailored to the volatile and challenging context of the Port-au-Prince Metropolitan Area (PAPMA).</w:t>
      </w:r>
    </w:p>
    <w:p w14:paraId="2EA29E25" w14:textId="77777777" w:rsidR="00422470" w:rsidRPr="007865AF" w:rsidRDefault="00422470" w:rsidP="7DA89621">
      <w:pPr>
        <w:rPr>
          <w:rFonts w:ascii="Lato" w:eastAsia="Lato" w:hAnsi="Lato" w:cs="Lato"/>
          <w:sz w:val="22"/>
          <w:lang w:val="en-US"/>
        </w:rPr>
      </w:pPr>
    </w:p>
    <w:p w14:paraId="6CE91730" w14:textId="7E5D3D93" w:rsidR="004A0FDF" w:rsidRDefault="44760E64" w:rsidP="7DA89621">
      <w:pPr>
        <w:rPr>
          <w:rFonts w:ascii="Lato" w:eastAsia="Lato" w:hAnsi="Lato" w:cs="Lato"/>
          <w:sz w:val="22"/>
          <w:lang w:val="en-US"/>
        </w:rPr>
      </w:pPr>
      <w:r w:rsidRPr="7DA89621">
        <w:rPr>
          <w:rFonts w:ascii="Lato" w:eastAsia="Lato" w:hAnsi="Lato" w:cs="Lato"/>
          <w:sz w:val="22"/>
          <w:lang w:val="en-US"/>
        </w:rPr>
        <w:lastRenderedPageBreak/>
        <w:t>One significant risk encountered during the project was related to the targeting of beneficiaries in the IDP sites. There was a possibility of inaccuracies or manipulation in beneficiary lists, which could compromise the fairness and transparency of the process. To mitigate this risk, a multi-step process was implemented to ensure accuracy and accountability. Initially, lists of household heads present at the sites were obtained from the site committees and the brigadier of civil protection attached to the sites. These lists were then cross-verified through random checks, with a particular focus on identifying duplications, such as household heads sharing the same last names. Following this, surprise visits were conducted at both sites to validate the presence and eligibility of the listed individuals. The findings were shared in meetings with the site committees, and the lists were subsequently refined. This process resulted in the initial lists being adjusted from 111 to 98 households at one site and from 150 to 136 households at the other. This rigorous approach significantly reduced the risk of errors or fraudulent entries, ensuring the selection process was both equitable and transparent.</w:t>
      </w:r>
    </w:p>
    <w:p w14:paraId="67C53F95" w14:textId="77777777" w:rsidR="004017B9" w:rsidRPr="007865AF" w:rsidRDefault="004017B9" w:rsidP="7DA89621">
      <w:pPr>
        <w:rPr>
          <w:rFonts w:ascii="Lato" w:eastAsia="Lato" w:hAnsi="Lato" w:cs="Lato"/>
          <w:sz w:val="22"/>
          <w:lang w:val="en-US"/>
        </w:rPr>
      </w:pPr>
    </w:p>
    <w:p w14:paraId="7B6BF406" w14:textId="2BC3F1DB" w:rsidR="004A0FDF" w:rsidRDefault="44760E64" w:rsidP="7DA89621">
      <w:pPr>
        <w:rPr>
          <w:rFonts w:ascii="Lato" w:eastAsia="Lato" w:hAnsi="Lato" w:cs="Lato"/>
          <w:sz w:val="22"/>
          <w:lang w:val="en-US"/>
        </w:rPr>
      </w:pPr>
      <w:r w:rsidRPr="7DA89621">
        <w:rPr>
          <w:rFonts w:ascii="Lato" w:eastAsia="Lato" w:hAnsi="Lato" w:cs="Lato"/>
          <w:sz w:val="22"/>
          <w:lang w:val="en-US"/>
        </w:rPr>
        <w:t>Another major external risk was the highly insecure environment due to gang violence, which posed significant threats to access and safety for both beneficiaries and project staff. This was managed by leveraging the deep-rooted presence and community acceptance of local partner PRODEV, operational in Croix-des-Bouquets for over 14 years. Their established relationships with community stakeholders, including parents and religious leaders, mitigated risks related to gang interference and facilitated the safe implementation of activities. Additionally, Save the Children and PRODEV conducted joint risk assessments, focusing on security protocols for community learning spaces to protect children and staff. The use of flexible implementation models, such as relocating activities to secure locations when necessary, further ensured continuity amidst volatile conditions.</w:t>
      </w:r>
    </w:p>
    <w:p w14:paraId="70B78F6B" w14:textId="77777777" w:rsidR="008D111F" w:rsidRPr="007865AF" w:rsidRDefault="008D111F" w:rsidP="7DA89621">
      <w:pPr>
        <w:rPr>
          <w:rFonts w:ascii="Lato" w:eastAsia="Lato" w:hAnsi="Lato" w:cs="Lato"/>
          <w:sz w:val="22"/>
          <w:lang w:val="en-US"/>
        </w:rPr>
      </w:pPr>
    </w:p>
    <w:p w14:paraId="0F7B5C84" w14:textId="44C0D27E" w:rsidR="004A0FDF" w:rsidRPr="007865AF" w:rsidRDefault="44760E64" w:rsidP="7DA89621">
      <w:pPr>
        <w:rPr>
          <w:rFonts w:ascii="Lato" w:eastAsia="Lato" w:hAnsi="Lato" w:cs="Lato"/>
          <w:sz w:val="22"/>
          <w:lang w:val="en-US"/>
        </w:rPr>
      </w:pPr>
      <w:r w:rsidRPr="7DA89621">
        <w:rPr>
          <w:rFonts w:ascii="Lato" w:eastAsia="Lato" w:hAnsi="Lato" w:cs="Lato"/>
          <w:sz w:val="22"/>
          <w:lang w:val="en-US"/>
        </w:rPr>
        <w:t>Financial and operational risks were addressed through strict adherence to Save the Children’s financial management protocols and the implementation of cash assistance programs aligned with recommendations from the Cash Working Group. The multi-purpose cash assistance (MPCA) included two rounds: an initial unconditional transfer and a subsequent conditional transfer incentivizing relocation to dignified housing. To minimize risks associated with cash distribution, the project utilized Digicel’s Moncash platform, a secure and discreet e-cash mechanism. This approach mitigated the risk of theft and ensured that beneficiaries could safely access their funds.</w:t>
      </w:r>
    </w:p>
    <w:p w14:paraId="56F31C6E" w14:textId="78824BC4" w:rsidR="004A0FDF" w:rsidRDefault="44760E64" w:rsidP="7DA89621">
      <w:pPr>
        <w:rPr>
          <w:rFonts w:ascii="Lato" w:eastAsia="Lato" w:hAnsi="Lato" w:cs="Lato"/>
          <w:sz w:val="22"/>
          <w:lang w:val="en-US"/>
        </w:rPr>
      </w:pPr>
      <w:r w:rsidRPr="7DA89621">
        <w:rPr>
          <w:rFonts w:ascii="Lato" w:eastAsia="Lato" w:hAnsi="Lato" w:cs="Lato"/>
          <w:sz w:val="22"/>
          <w:lang w:val="en-US"/>
        </w:rPr>
        <w:t>Internal risks related to personnel and resource management were mitigated through capacity-building initiatives for PRODEV and other stakeholders. Training sessions were conducted to equip community facilitators, teachers, and school directors with skills in child safeguarding, gender, and psychological first aid. These measures enhanced the resilience and responsiveness of the team, ensuring they could adapt to emerging challenges during implementation.</w:t>
      </w:r>
    </w:p>
    <w:p w14:paraId="052D7A1D" w14:textId="77777777" w:rsidR="008D111F" w:rsidRPr="007865AF" w:rsidRDefault="008D111F" w:rsidP="7DA89621">
      <w:pPr>
        <w:rPr>
          <w:rFonts w:ascii="Lato" w:eastAsia="Lato" w:hAnsi="Lato" w:cs="Lato"/>
          <w:sz w:val="22"/>
          <w:lang w:val="en-US"/>
        </w:rPr>
      </w:pPr>
    </w:p>
    <w:p w14:paraId="5D516644" w14:textId="43768E3E" w:rsidR="004A0FDF" w:rsidRDefault="44760E64" w:rsidP="7DA89621">
      <w:pPr>
        <w:rPr>
          <w:rFonts w:ascii="Lato" w:eastAsia="Lato" w:hAnsi="Lato" w:cs="Lato"/>
          <w:sz w:val="22"/>
          <w:lang w:val="en-US"/>
        </w:rPr>
      </w:pPr>
      <w:r w:rsidRPr="7DA89621">
        <w:rPr>
          <w:rFonts w:ascii="Lato" w:eastAsia="Lato" w:hAnsi="Lato" w:cs="Lato"/>
          <w:sz w:val="22"/>
          <w:lang w:val="en-US"/>
        </w:rPr>
        <w:t>The evolving nature of the crisis validated the original risk analysis outlined in the proposal. For instance, the risk of displacement from schools used as IDP shelters materialized, necessitating swift action to relocate 236 households and liberate educational facilities. The provision of MPCA allowed families to secure safe housing, reducing exposure to protection risks such as gender-based violence (GBV). The establishment of 18 community learning spaces further demonstrated the project’s adaptability, ensuring educational continuity and safety for 540 children.</w:t>
      </w:r>
    </w:p>
    <w:p w14:paraId="21954D12" w14:textId="77777777" w:rsidR="001B7C6A" w:rsidRPr="007865AF" w:rsidRDefault="001B7C6A" w:rsidP="7DA89621">
      <w:pPr>
        <w:rPr>
          <w:rFonts w:ascii="Lato" w:eastAsia="Lato" w:hAnsi="Lato" w:cs="Lato"/>
          <w:sz w:val="22"/>
          <w:lang w:val="en-US"/>
        </w:rPr>
      </w:pPr>
    </w:p>
    <w:p w14:paraId="3FC122A3" w14:textId="2135DE30" w:rsidR="004A0FDF" w:rsidRDefault="44760E64" w:rsidP="7DA89621">
      <w:pPr>
        <w:rPr>
          <w:rFonts w:ascii="Lato" w:eastAsia="Lato" w:hAnsi="Lato" w:cs="Lato"/>
          <w:sz w:val="22"/>
          <w:lang w:val="en-US"/>
        </w:rPr>
      </w:pPr>
      <w:r w:rsidRPr="7DA89621">
        <w:rPr>
          <w:rFonts w:ascii="Lato" w:eastAsia="Lato" w:hAnsi="Lato" w:cs="Lato"/>
          <w:sz w:val="22"/>
          <w:lang w:val="en-US"/>
        </w:rPr>
        <w:t xml:space="preserve">Another critical risk was the high prevalence of GBV in IDP sites, with women and girls facing elevated vulnerabilities. To address this, training on GBV case management was provided to 35 participants from 20 local organizations, strengthening local capacity to offer quality services to survivors. Additionally, gender-sensitive cash distribution strategies prioritized vulnerable groups </w:t>
      </w:r>
      <w:r w:rsidRPr="7DA89621">
        <w:rPr>
          <w:rFonts w:ascii="Lato" w:eastAsia="Lato" w:hAnsi="Lato" w:cs="Lato"/>
          <w:sz w:val="22"/>
          <w:lang w:val="en-US"/>
        </w:rPr>
        <w:lastRenderedPageBreak/>
        <w:t>such as female-headed households and pregnant and lactating women, effectively reducing protection risks.</w:t>
      </w:r>
    </w:p>
    <w:p w14:paraId="6B43E239" w14:textId="77777777" w:rsidR="00577671" w:rsidRPr="007865AF" w:rsidRDefault="00577671" w:rsidP="7DA89621">
      <w:pPr>
        <w:rPr>
          <w:rFonts w:ascii="Lato" w:eastAsia="Lato" w:hAnsi="Lato" w:cs="Lato"/>
          <w:sz w:val="22"/>
          <w:lang w:val="en-US"/>
        </w:rPr>
      </w:pPr>
    </w:p>
    <w:p w14:paraId="6D3165CB" w14:textId="20339775" w:rsidR="004A0FDF" w:rsidRPr="007865AF" w:rsidRDefault="44760E64" w:rsidP="7DA89621">
      <w:pPr>
        <w:rPr>
          <w:rFonts w:ascii="Lato" w:eastAsia="Lato" w:hAnsi="Lato" w:cs="Lato"/>
          <w:sz w:val="22"/>
          <w:lang w:val="en-US"/>
        </w:rPr>
      </w:pPr>
      <w:r w:rsidRPr="7DA89621">
        <w:rPr>
          <w:rFonts w:ascii="Lato" w:eastAsia="Lato" w:hAnsi="Lato" w:cs="Lato"/>
          <w:sz w:val="22"/>
          <w:lang w:val="en-US"/>
        </w:rPr>
        <w:t>Overall, the project’s proactive risk management strategies, rooted in contextual analysis and community-based approaches, successfully mitigated the identified risks while ensuring the safety and well-being of beneficiaries and staff. The measures proposed in the original analysis, coupled with additional steps implemented during execution, validated the importance of leveraging local partnerships, flexible implementation strategies, and robust controls in such a complex environment.</w:t>
      </w:r>
    </w:p>
    <w:p w14:paraId="2C9F40F3" w14:textId="03699DE1" w:rsidR="004A0FDF" w:rsidRPr="007865AF" w:rsidRDefault="004A0FDF" w:rsidP="7DA89621">
      <w:pPr>
        <w:spacing w:after="200"/>
        <w:rPr>
          <w:rFonts w:ascii="Lato" w:hAnsi="Lato" w:cstheme="majorBidi"/>
          <w:sz w:val="22"/>
        </w:rPr>
      </w:pPr>
    </w:p>
    <w:p w14:paraId="660BBFCC" w14:textId="77777777" w:rsidR="0002218E" w:rsidRPr="007865AF" w:rsidRDefault="0002218E" w:rsidP="0007334E">
      <w:pPr>
        <w:pStyle w:val="ListParagraph"/>
        <w:spacing w:before="0" w:after="200"/>
        <w:ind w:left="360"/>
        <w:rPr>
          <w:rFonts w:ascii="Lato" w:hAnsi="Lato" w:cstheme="majorBidi"/>
          <w:sz w:val="22"/>
        </w:rPr>
      </w:pPr>
    </w:p>
    <w:p w14:paraId="4C31D321" w14:textId="0C5CBC9F" w:rsidR="0007334E" w:rsidRPr="007865AF" w:rsidRDefault="0007334E" w:rsidP="2AE27776">
      <w:pPr>
        <w:pStyle w:val="ListParagraph"/>
        <w:numPr>
          <w:ilvl w:val="0"/>
          <w:numId w:val="16"/>
        </w:numPr>
        <w:spacing w:before="0" w:after="200"/>
        <w:ind w:left="360"/>
        <w:rPr>
          <w:rFonts w:ascii="Lato" w:hAnsi="Lato" w:cstheme="majorBidi"/>
          <w:sz w:val="22"/>
        </w:rPr>
      </w:pPr>
      <w:r w:rsidRPr="2AE27776">
        <w:rPr>
          <w:rFonts w:ascii="Lato" w:hAnsi="Lato" w:cstheme="majorBidi"/>
          <w:b/>
          <w:bCs/>
          <w:sz w:val="22"/>
        </w:rPr>
        <w:t>Lessons Learned</w:t>
      </w:r>
      <w:r w:rsidRPr="2AE27776">
        <w:rPr>
          <w:rFonts w:ascii="Lato" w:hAnsi="Lato" w:cstheme="majorBidi"/>
          <w:sz w:val="22"/>
        </w:rPr>
        <w:t xml:space="preserve">: Describe any lessons learned, and how these will be applied in future projects. </w:t>
      </w:r>
      <w:r w:rsidR="005B1753" w:rsidRPr="2AE27776">
        <w:rPr>
          <w:rFonts w:ascii="Lato" w:hAnsi="Lato" w:cstheme="majorBidi"/>
          <w:sz w:val="22"/>
        </w:rPr>
        <w:t>(</w:t>
      </w:r>
      <w:r w:rsidR="000213E2" w:rsidRPr="2AE27776">
        <w:rPr>
          <w:rFonts w:ascii="Lato" w:hAnsi="Lato" w:cstheme="majorBidi"/>
          <w:sz w:val="22"/>
        </w:rPr>
        <w:t xml:space="preserve">Suggested length: </w:t>
      </w:r>
      <w:r w:rsidR="005B1753" w:rsidRPr="2AE27776">
        <w:rPr>
          <w:rFonts w:ascii="Lato" w:hAnsi="Lato" w:cstheme="majorBidi"/>
          <w:sz w:val="22"/>
        </w:rPr>
        <w:t>1</w:t>
      </w:r>
      <w:r w:rsidRPr="2AE27776">
        <w:rPr>
          <w:rFonts w:ascii="Lato" w:hAnsi="Lato" w:cstheme="majorBidi"/>
          <w:sz w:val="22"/>
        </w:rPr>
        <w:t xml:space="preserve"> page</w:t>
      </w:r>
      <w:r w:rsidR="005B1753" w:rsidRPr="2AE27776">
        <w:rPr>
          <w:rFonts w:ascii="Lato" w:hAnsi="Lato" w:cstheme="majorBidi"/>
          <w:sz w:val="22"/>
        </w:rPr>
        <w:t>)</w:t>
      </w:r>
    </w:p>
    <w:p w14:paraId="57B68E95" w14:textId="33A6D76D" w:rsidR="00B16885" w:rsidRPr="007865AF" w:rsidRDefault="2432560D" w:rsidP="7DA89621">
      <w:pPr>
        <w:numPr>
          <w:ilvl w:val="0"/>
          <w:numId w:val="7"/>
        </w:numPr>
        <w:spacing w:after="200"/>
        <w:rPr>
          <w:rFonts w:ascii="Lato" w:eastAsia="Lato" w:hAnsi="Lato" w:cs="Lato"/>
          <w:sz w:val="22"/>
        </w:rPr>
      </w:pPr>
      <w:r w:rsidRPr="7DA89621">
        <w:rPr>
          <w:rFonts w:ascii="Lato" w:eastAsia="Lato" w:hAnsi="Lato" w:cs="Lato"/>
          <w:sz w:val="22"/>
        </w:rPr>
        <w:t>Programmatically, one of the main theoretical, empirical and methodological contribution</w:t>
      </w:r>
      <w:r w:rsidR="3C5032C6" w:rsidRPr="7DA89621">
        <w:rPr>
          <w:rFonts w:ascii="Lato" w:eastAsia="Lato" w:hAnsi="Lato" w:cs="Lato"/>
          <w:sz w:val="22"/>
        </w:rPr>
        <w:t>s</w:t>
      </w:r>
      <w:r w:rsidRPr="7DA89621">
        <w:rPr>
          <w:rFonts w:ascii="Lato" w:eastAsia="Lato" w:hAnsi="Lato" w:cs="Lato"/>
          <w:sz w:val="22"/>
        </w:rPr>
        <w:t xml:space="preserve"> of this project has been </w:t>
      </w:r>
      <w:r w:rsidR="56D563FF" w:rsidRPr="7DA89621">
        <w:rPr>
          <w:rFonts w:ascii="Lato" w:eastAsia="Lato" w:hAnsi="Lato" w:cs="Lato"/>
          <w:sz w:val="22"/>
        </w:rPr>
        <w:t>the piloting</w:t>
      </w:r>
      <w:r w:rsidR="42758A53" w:rsidRPr="7DA89621">
        <w:rPr>
          <w:rFonts w:ascii="Lato" w:eastAsia="Lato" w:hAnsi="Lato" w:cs="Lato"/>
          <w:sz w:val="22"/>
        </w:rPr>
        <w:t>, for the first time in the country,</w:t>
      </w:r>
      <w:r w:rsidR="56D563FF" w:rsidRPr="7DA89621">
        <w:rPr>
          <w:rFonts w:ascii="Lato" w:eastAsia="Lato" w:hAnsi="Lato" w:cs="Lato"/>
          <w:sz w:val="22"/>
        </w:rPr>
        <w:t xml:space="preserve"> of an innovative combination of multipurpose cash assistanc</w:t>
      </w:r>
      <w:r w:rsidR="6EF0A826" w:rsidRPr="7DA89621">
        <w:rPr>
          <w:rFonts w:ascii="Lato" w:eastAsia="Lato" w:hAnsi="Lato" w:cs="Lato"/>
          <w:sz w:val="22"/>
        </w:rPr>
        <w:t xml:space="preserve">e to empty schools used as temporary shelters </w:t>
      </w:r>
      <w:r w:rsidR="45B7E0ED" w:rsidRPr="7DA89621">
        <w:rPr>
          <w:rFonts w:ascii="Lato" w:eastAsia="Lato" w:hAnsi="Lato" w:cs="Lato"/>
          <w:sz w:val="22"/>
        </w:rPr>
        <w:t xml:space="preserve">by </w:t>
      </w:r>
      <w:r w:rsidR="6EF0A826" w:rsidRPr="7DA89621">
        <w:rPr>
          <w:rFonts w:ascii="Lato" w:eastAsia="Lato" w:hAnsi="Lato" w:cs="Lato"/>
          <w:sz w:val="22"/>
        </w:rPr>
        <w:t xml:space="preserve">allowing internally displaced people to afford more dignified housing solutions. This helped </w:t>
      </w:r>
      <w:r w:rsidR="56D563FF" w:rsidRPr="7DA89621">
        <w:rPr>
          <w:rFonts w:ascii="Lato" w:eastAsia="Lato" w:hAnsi="Lato" w:cs="Lato"/>
          <w:sz w:val="22"/>
        </w:rPr>
        <w:t>advance the understanding</w:t>
      </w:r>
      <w:r w:rsidR="55A3A030" w:rsidRPr="7DA89621">
        <w:rPr>
          <w:rFonts w:ascii="Lato" w:eastAsia="Lato" w:hAnsi="Lato" w:cs="Lato"/>
          <w:sz w:val="22"/>
        </w:rPr>
        <w:t xml:space="preserve"> of which approaches can work to meet the</w:t>
      </w:r>
      <w:r w:rsidR="441EB4B5" w:rsidRPr="7DA89621">
        <w:rPr>
          <w:rFonts w:ascii="Lato" w:eastAsia="Lato" w:hAnsi="Lato" w:cs="Lato"/>
          <w:sz w:val="22"/>
        </w:rPr>
        <w:t xml:space="preserve"> urgent,</w:t>
      </w:r>
      <w:r w:rsidR="55A3A030" w:rsidRPr="7DA89621">
        <w:rPr>
          <w:rFonts w:ascii="Lato" w:eastAsia="Lato" w:hAnsi="Lato" w:cs="Lato"/>
          <w:sz w:val="22"/>
        </w:rPr>
        <w:t xml:space="preserve"> live-saving </w:t>
      </w:r>
      <w:r w:rsidR="17D947AB" w:rsidRPr="7DA89621">
        <w:rPr>
          <w:rFonts w:ascii="Lato" w:eastAsia="Lato" w:hAnsi="Lato" w:cs="Lato"/>
          <w:sz w:val="22"/>
        </w:rPr>
        <w:t xml:space="preserve">humanitarian </w:t>
      </w:r>
      <w:r w:rsidR="55A3A030" w:rsidRPr="7DA89621">
        <w:rPr>
          <w:rFonts w:ascii="Lato" w:eastAsia="Lato" w:hAnsi="Lato" w:cs="Lato"/>
          <w:sz w:val="22"/>
        </w:rPr>
        <w:t>needs of the internally displaced population</w:t>
      </w:r>
      <w:r w:rsidR="4F0A0F20" w:rsidRPr="7DA89621">
        <w:rPr>
          <w:rFonts w:ascii="Lato" w:eastAsia="Lato" w:hAnsi="Lato" w:cs="Lato"/>
          <w:sz w:val="22"/>
        </w:rPr>
        <w:t xml:space="preserve"> while </w:t>
      </w:r>
      <w:r w:rsidR="55A3A030" w:rsidRPr="7DA89621">
        <w:rPr>
          <w:rFonts w:ascii="Lato" w:eastAsia="Lato" w:hAnsi="Lato" w:cs="Lato"/>
          <w:sz w:val="22"/>
        </w:rPr>
        <w:t>rest</w:t>
      </w:r>
      <w:r w:rsidR="50C17D64" w:rsidRPr="7DA89621">
        <w:rPr>
          <w:rFonts w:ascii="Lato" w:eastAsia="Lato" w:hAnsi="Lato" w:cs="Lato"/>
          <w:sz w:val="22"/>
        </w:rPr>
        <w:t>or</w:t>
      </w:r>
      <w:r w:rsidR="44EB922E" w:rsidRPr="7DA89621">
        <w:rPr>
          <w:rFonts w:ascii="Lato" w:eastAsia="Lato" w:hAnsi="Lato" w:cs="Lato"/>
          <w:sz w:val="22"/>
        </w:rPr>
        <w:t xml:space="preserve">ing </w:t>
      </w:r>
      <w:r w:rsidR="55A3A030" w:rsidRPr="7DA89621">
        <w:rPr>
          <w:rFonts w:ascii="Lato" w:eastAsia="Lato" w:hAnsi="Lato" w:cs="Lato"/>
          <w:sz w:val="22"/>
        </w:rPr>
        <w:t>educational continuity</w:t>
      </w:r>
      <w:r w:rsidR="46D2F21D" w:rsidRPr="7DA89621">
        <w:rPr>
          <w:rFonts w:ascii="Lato" w:eastAsia="Lato" w:hAnsi="Lato" w:cs="Lato"/>
          <w:sz w:val="22"/>
        </w:rPr>
        <w:t xml:space="preserve"> and giving back access to a safe and protective environment to school children. The project </w:t>
      </w:r>
      <w:r w:rsidR="1DE50BA5" w:rsidRPr="7DA89621">
        <w:rPr>
          <w:rFonts w:ascii="Lato" w:eastAsia="Lato" w:hAnsi="Lato" w:cs="Lato"/>
          <w:sz w:val="22"/>
        </w:rPr>
        <w:t>helped</w:t>
      </w:r>
      <w:r w:rsidR="46D2F21D" w:rsidRPr="7DA89621">
        <w:rPr>
          <w:rFonts w:ascii="Lato" w:eastAsia="Lato" w:hAnsi="Lato" w:cs="Lato"/>
          <w:sz w:val="22"/>
        </w:rPr>
        <w:t xml:space="preserve"> shap</w:t>
      </w:r>
      <w:r w:rsidR="285A7663" w:rsidRPr="7DA89621">
        <w:rPr>
          <w:rFonts w:ascii="Lato" w:eastAsia="Lato" w:hAnsi="Lato" w:cs="Lato"/>
          <w:sz w:val="22"/>
        </w:rPr>
        <w:t>e</w:t>
      </w:r>
      <w:r w:rsidR="46D2F21D" w:rsidRPr="7DA89621">
        <w:rPr>
          <w:rFonts w:ascii="Lato" w:eastAsia="Lato" w:hAnsi="Lato" w:cs="Lato"/>
          <w:sz w:val="22"/>
        </w:rPr>
        <w:t xml:space="preserve"> inter-cluster</w:t>
      </w:r>
      <w:r w:rsidR="56D563FF" w:rsidRPr="7DA89621">
        <w:rPr>
          <w:rFonts w:ascii="Lato" w:eastAsia="Lato" w:hAnsi="Lato" w:cs="Lato"/>
          <w:sz w:val="22"/>
        </w:rPr>
        <w:t xml:space="preserve"> recommendations </w:t>
      </w:r>
      <w:r w:rsidR="1E2681E7" w:rsidRPr="7DA89621">
        <w:rPr>
          <w:rFonts w:ascii="Lato" w:eastAsia="Lato" w:hAnsi="Lato" w:cs="Lato"/>
          <w:sz w:val="22"/>
        </w:rPr>
        <w:t xml:space="preserve">in this regard, </w:t>
      </w:r>
      <w:r w:rsidR="64A79541" w:rsidRPr="7DA89621">
        <w:rPr>
          <w:rFonts w:ascii="Lato" w:eastAsia="Lato" w:hAnsi="Lato" w:cs="Lato"/>
          <w:sz w:val="22"/>
        </w:rPr>
        <w:t>as a contribution to the CCCM Cluster, Education Cluster and Cash Working Group on the use of multipurpose cash assistance for education in emergencies purposes.</w:t>
      </w:r>
      <w:r w:rsidR="16E9D94D" w:rsidRPr="7DA89621">
        <w:rPr>
          <w:rFonts w:ascii="Lato" w:eastAsia="Lato" w:hAnsi="Lato" w:cs="Lato"/>
          <w:sz w:val="22"/>
        </w:rPr>
        <w:t xml:space="preserve"> The approach proved to work in the two sites where it was tested. In the future, Save the Children plans to leverage on this pilot to</w:t>
      </w:r>
      <w:r w:rsidR="4C09EACB" w:rsidRPr="7DA89621">
        <w:rPr>
          <w:rFonts w:ascii="Lato" w:eastAsia="Lato" w:hAnsi="Lato" w:cs="Lato"/>
          <w:sz w:val="22"/>
        </w:rPr>
        <w:t xml:space="preserve"> test it in more sites and</w:t>
      </w:r>
      <w:r w:rsidR="16E9D94D" w:rsidRPr="7DA89621">
        <w:rPr>
          <w:rFonts w:ascii="Lato" w:eastAsia="Lato" w:hAnsi="Lato" w:cs="Lato"/>
          <w:sz w:val="22"/>
        </w:rPr>
        <w:t xml:space="preserve"> inform cluster and inter-cluster recommendation</w:t>
      </w:r>
      <w:r w:rsidR="27C4734C" w:rsidRPr="7DA89621">
        <w:rPr>
          <w:rFonts w:ascii="Lato" w:eastAsia="Lato" w:hAnsi="Lato" w:cs="Lato"/>
          <w:sz w:val="22"/>
        </w:rPr>
        <w:t>s</w:t>
      </w:r>
      <w:r w:rsidR="7DAC6FA4" w:rsidRPr="7DA89621">
        <w:rPr>
          <w:rFonts w:ascii="Lato" w:eastAsia="Lato" w:hAnsi="Lato" w:cs="Lato"/>
          <w:sz w:val="22"/>
        </w:rPr>
        <w:t xml:space="preserve"> accordingly.</w:t>
      </w:r>
    </w:p>
    <w:p w14:paraId="162769D0" w14:textId="21345A90" w:rsidR="1524D924" w:rsidRDefault="1524D924" w:rsidP="239F5A57">
      <w:pPr>
        <w:pStyle w:val="ListParagraph"/>
        <w:numPr>
          <w:ilvl w:val="0"/>
          <w:numId w:val="7"/>
        </w:numPr>
        <w:spacing w:line="276" w:lineRule="auto"/>
        <w:rPr>
          <w:rFonts w:ascii="Lato" w:eastAsia="Lato" w:hAnsi="Lato" w:cs="Lato"/>
          <w:sz w:val="22"/>
        </w:rPr>
      </w:pPr>
      <w:r w:rsidRPr="239F5A57">
        <w:rPr>
          <w:rFonts w:ascii="Lato" w:eastAsia="Lato" w:hAnsi="Lato" w:cs="Lato"/>
          <w:sz w:val="22"/>
        </w:rPr>
        <w:t>Secondly, the project also helped address the most urgent, live-saving needs in both sending and receiving areas of displacement</w:t>
      </w:r>
      <w:r w:rsidR="339126A1" w:rsidRPr="239F5A57">
        <w:rPr>
          <w:rFonts w:ascii="Lato" w:eastAsia="Lato" w:hAnsi="Lato" w:cs="Lato"/>
          <w:sz w:val="22"/>
        </w:rPr>
        <w:t xml:space="preserve"> in the Metropolitan Area of Port-au-Prince</w:t>
      </w:r>
      <w:r w:rsidRPr="239F5A57">
        <w:rPr>
          <w:rFonts w:ascii="Lato" w:eastAsia="Lato" w:hAnsi="Lato" w:cs="Lato"/>
          <w:sz w:val="22"/>
        </w:rPr>
        <w:t>. Specifically, in communities directly affected by armed violence</w:t>
      </w:r>
      <w:r w:rsidR="7630F85C" w:rsidRPr="239F5A57">
        <w:rPr>
          <w:rFonts w:ascii="Lato" w:eastAsia="Lato" w:hAnsi="Lato" w:cs="Lato"/>
          <w:sz w:val="22"/>
        </w:rPr>
        <w:t xml:space="preserve"> (sending areas)</w:t>
      </w:r>
      <w:r w:rsidRPr="239F5A57">
        <w:rPr>
          <w:rFonts w:ascii="Lato" w:eastAsia="Lato" w:hAnsi="Lato" w:cs="Lato"/>
          <w:sz w:val="22"/>
        </w:rPr>
        <w:t>, the project swiftly established community learning space</w:t>
      </w:r>
      <w:r w:rsidR="03676C27" w:rsidRPr="239F5A57">
        <w:rPr>
          <w:rFonts w:ascii="Lato" w:eastAsia="Lato" w:hAnsi="Lato" w:cs="Lato"/>
          <w:sz w:val="22"/>
        </w:rPr>
        <w:t xml:space="preserve">s that functioned as a full replacement of formal school education but outside of the school building, to make up for prolonged school closure. In doing so, the project helped mitigate the risk of recruitment of children into armed groups by offering </w:t>
      </w:r>
      <w:r w:rsidR="27FFF2DA" w:rsidRPr="239F5A57">
        <w:rPr>
          <w:rFonts w:ascii="Lato" w:eastAsia="Lato" w:hAnsi="Lato" w:cs="Lato"/>
          <w:sz w:val="22"/>
        </w:rPr>
        <w:t>continued access to the safe and protective environment schools represent</w:t>
      </w:r>
      <w:r w:rsidR="034A65FF" w:rsidRPr="239F5A57">
        <w:rPr>
          <w:rFonts w:ascii="Lato" w:eastAsia="Lato" w:hAnsi="Lato" w:cs="Lato"/>
          <w:sz w:val="22"/>
        </w:rPr>
        <w:t xml:space="preserve">, shielding </w:t>
      </w:r>
      <w:r w:rsidR="51D2A82D" w:rsidRPr="239F5A57">
        <w:rPr>
          <w:rFonts w:ascii="Lato" w:eastAsia="Lato" w:hAnsi="Lato" w:cs="Lato"/>
          <w:sz w:val="22"/>
        </w:rPr>
        <w:t>children</w:t>
      </w:r>
      <w:r w:rsidR="034A65FF" w:rsidRPr="239F5A57">
        <w:rPr>
          <w:rFonts w:ascii="Lato" w:eastAsia="Lato" w:hAnsi="Lato" w:cs="Lato"/>
          <w:sz w:val="22"/>
        </w:rPr>
        <w:t xml:space="preserve"> from outside violence,</w:t>
      </w:r>
      <w:r w:rsidR="27FFF2DA" w:rsidRPr="239F5A57">
        <w:rPr>
          <w:rFonts w:ascii="Lato" w:eastAsia="Lato" w:hAnsi="Lato" w:cs="Lato"/>
          <w:sz w:val="22"/>
        </w:rPr>
        <w:t xml:space="preserve"> as well as the certainty of a meal per day that children often only find at school</w:t>
      </w:r>
      <w:r w:rsidR="14002B80" w:rsidRPr="239F5A57">
        <w:rPr>
          <w:rFonts w:ascii="Lato" w:eastAsia="Lato" w:hAnsi="Lato" w:cs="Lato"/>
          <w:sz w:val="22"/>
        </w:rPr>
        <w:t>, reducing hunger and its correlation with gang recruitment. In safer</w:t>
      </w:r>
      <w:r w:rsidR="3659D3FC" w:rsidRPr="239F5A57">
        <w:rPr>
          <w:rFonts w:ascii="Lato" w:eastAsia="Lato" w:hAnsi="Lato" w:cs="Lato"/>
          <w:sz w:val="22"/>
        </w:rPr>
        <w:t>, receiving areas, the project helped displaced people relocate, allowing school children to safely return to school.</w:t>
      </w:r>
      <w:r w:rsidR="37DB128A" w:rsidRPr="239F5A57">
        <w:rPr>
          <w:rFonts w:ascii="Lato" w:eastAsia="Lato" w:hAnsi="Lato" w:cs="Lato"/>
          <w:sz w:val="22"/>
        </w:rPr>
        <w:t xml:space="preserve"> The integration of actions oriented towards both sending and receiving areas increased the overall impact of the project, with potential for replication. Save the Children leveraged on this pilot to secure additional, longer-term funding from the European Commission’s DG-ECHO to sustain </w:t>
      </w:r>
      <w:r w:rsidR="46D3FFE6" w:rsidRPr="239F5A57">
        <w:rPr>
          <w:rFonts w:ascii="Lato" w:eastAsia="Lato" w:hAnsi="Lato" w:cs="Lato"/>
          <w:sz w:val="22"/>
        </w:rPr>
        <w:t xml:space="preserve">the education in emergencies activities initiated with partner PRODEV on this project for two years. This demonstrates how rapid response funding can help rapidly initiate a response while fundraising for </w:t>
      </w:r>
      <w:r w:rsidR="54E05025" w:rsidRPr="239F5A57">
        <w:rPr>
          <w:rFonts w:ascii="Lato" w:eastAsia="Lato" w:hAnsi="Lato" w:cs="Lato"/>
          <w:sz w:val="22"/>
        </w:rPr>
        <w:t>longer-term impact.</w:t>
      </w:r>
    </w:p>
    <w:p w14:paraId="6129A00C" w14:textId="65605B64" w:rsidR="239F5A57" w:rsidRDefault="239F5A57" w:rsidP="239F5A57">
      <w:pPr>
        <w:pStyle w:val="ListParagraph"/>
        <w:spacing w:line="276" w:lineRule="auto"/>
        <w:ind w:left="720"/>
        <w:rPr>
          <w:rFonts w:ascii="Lato" w:eastAsia="Lato" w:hAnsi="Lato" w:cs="Lato"/>
          <w:sz w:val="22"/>
        </w:rPr>
      </w:pPr>
    </w:p>
    <w:p w14:paraId="3E0C9562" w14:textId="533B1D0D" w:rsidR="0912C73F" w:rsidRDefault="0912C73F" w:rsidP="2AE27776">
      <w:pPr>
        <w:pStyle w:val="ListParagraph"/>
        <w:numPr>
          <w:ilvl w:val="0"/>
          <w:numId w:val="7"/>
        </w:numPr>
        <w:spacing w:line="276" w:lineRule="auto"/>
        <w:rPr>
          <w:rFonts w:ascii="Lato" w:eastAsia="Lato" w:hAnsi="Lato" w:cs="Lato"/>
          <w:sz w:val="22"/>
        </w:rPr>
      </w:pPr>
      <w:r w:rsidRPr="2AE27776">
        <w:rPr>
          <w:rFonts w:ascii="Lato" w:eastAsia="Lato" w:hAnsi="Lato" w:cs="Lato"/>
          <w:sz w:val="22"/>
        </w:rPr>
        <w:lastRenderedPageBreak/>
        <w:t>A key lesson learned was the need for a thorough targeting process to relocate all households and free the site. This included: Collecting household lists from site committees. Conducting random verifications based on criteria such as family names, household size, and the age of household heads. Making surprise visits to verify the presence of families in classrooms used as living spaces. Holding meetings to share observations and refine the lists by removing duplicates, such as family members falsely registered as separate households.This process ensured accuracy, fairness, and efficient resource allocation.</w:t>
      </w:r>
    </w:p>
    <w:p w14:paraId="0055227C" w14:textId="77777777" w:rsidR="00997FBB" w:rsidRPr="007865AF" w:rsidRDefault="00997FBB" w:rsidP="005F20D2">
      <w:pPr>
        <w:pStyle w:val="Heading2"/>
        <w:rPr>
          <w:rFonts w:ascii="Lato" w:hAnsi="Lato"/>
          <w:sz w:val="22"/>
          <w:szCs w:val="22"/>
        </w:rPr>
      </w:pPr>
    </w:p>
    <w:p w14:paraId="17CA47AF" w14:textId="3B8F379C" w:rsidR="00A00972" w:rsidRPr="007865AF" w:rsidRDefault="00C918F7" w:rsidP="005F20D2">
      <w:pPr>
        <w:pStyle w:val="Heading2"/>
        <w:rPr>
          <w:rFonts w:ascii="Lato" w:hAnsi="Lato"/>
          <w:sz w:val="22"/>
          <w:szCs w:val="22"/>
        </w:rPr>
      </w:pPr>
      <w:r w:rsidRPr="007865AF">
        <w:rPr>
          <w:rFonts w:ascii="Lato" w:hAnsi="Lato"/>
          <w:sz w:val="22"/>
          <w:szCs w:val="22"/>
        </w:rPr>
        <w:t>DRA Strategic Objectives</w:t>
      </w:r>
    </w:p>
    <w:p w14:paraId="26DF8A01" w14:textId="5DD75CCE" w:rsidR="004A0FDF" w:rsidRDefault="00B21C9F" w:rsidP="7DA89621">
      <w:pPr>
        <w:pStyle w:val="ListParagraph"/>
        <w:numPr>
          <w:ilvl w:val="0"/>
          <w:numId w:val="16"/>
        </w:numPr>
        <w:spacing w:before="0" w:after="200"/>
        <w:rPr>
          <w:rFonts w:ascii="Lato" w:hAnsi="Lato" w:cstheme="majorBidi"/>
          <w:sz w:val="22"/>
        </w:rPr>
      </w:pPr>
      <w:r w:rsidRPr="7DA89621">
        <w:rPr>
          <w:rFonts w:ascii="Lato" w:hAnsi="Lato" w:cstheme="majorBidi"/>
          <w:b/>
          <w:bCs/>
          <w:sz w:val="22"/>
        </w:rPr>
        <w:t>C</w:t>
      </w:r>
      <w:r w:rsidR="00AD080A" w:rsidRPr="7DA89621">
        <w:rPr>
          <w:rFonts w:ascii="Lato" w:hAnsi="Lato" w:cstheme="majorBidi"/>
          <w:b/>
          <w:bCs/>
          <w:sz w:val="22"/>
        </w:rPr>
        <w:t>ollaboration</w:t>
      </w:r>
      <w:r w:rsidR="000A22B7" w:rsidRPr="7DA89621">
        <w:rPr>
          <w:rFonts w:ascii="Lato" w:hAnsi="Lato" w:cstheme="majorBidi"/>
          <w:b/>
          <w:bCs/>
          <w:sz w:val="22"/>
        </w:rPr>
        <w:t xml:space="preserve"> (collaborative impact)</w:t>
      </w:r>
      <w:r w:rsidR="004A0FDF" w:rsidRPr="7DA89621">
        <w:rPr>
          <w:rFonts w:ascii="Lato" w:hAnsi="Lato" w:cstheme="majorBidi"/>
          <w:sz w:val="22"/>
        </w:rPr>
        <w:t xml:space="preserve">: </w:t>
      </w:r>
    </w:p>
    <w:p w14:paraId="49FBD997" w14:textId="77777777" w:rsidR="00030DB3" w:rsidRPr="007865AF" w:rsidRDefault="00030DB3" w:rsidP="00030DB3">
      <w:pPr>
        <w:pStyle w:val="ListParagraph"/>
        <w:spacing w:before="0" w:after="200"/>
        <w:ind w:left="720"/>
        <w:rPr>
          <w:rFonts w:ascii="Lato" w:hAnsi="Lato" w:cstheme="majorBidi"/>
          <w:sz w:val="22"/>
        </w:rPr>
      </w:pPr>
    </w:p>
    <w:p w14:paraId="7E48AEB9" w14:textId="77777777" w:rsidR="00CA6ADD" w:rsidRDefault="00CA6ADD" w:rsidP="00CA6ADD">
      <w:pPr>
        <w:pStyle w:val="ListParagraph"/>
        <w:rPr>
          <w:rFonts w:ascii="Lato" w:hAnsi="Lato" w:cstheme="majorBidi"/>
          <w:sz w:val="22"/>
        </w:rPr>
      </w:pPr>
      <w:r w:rsidRPr="00013847">
        <w:rPr>
          <w:rFonts w:ascii="Lato" w:hAnsi="Lato" w:cstheme="majorBidi"/>
          <w:sz w:val="22"/>
        </w:rPr>
        <w:t>The project stands as a remarkable example of strategic collaboration, leveraging existing coordination platforms such as the CCCM Cluster, Education Cluster, and Cash Working Group. It further built on Save the Children’s pivotal role as the Education Cluster co-lead to drive impactful and well-coordinated interventions. By incorporating key recommendations from these platforms—such as the CCCM Cluster's advice on cash for rental subsidies and the Cash Working Group's guidance on transfer values aligned with the minimum expenditure basket—the project was able to conceptualize an innovative approach. This approach aimed to free schools being used as shelters, thereby restoring their primary function, while simultaneously providing displaced people with the means to secure more dignified housing solutions.</w:t>
      </w:r>
    </w:p>
    <w:p w14:paraId="40379406" w14:textId="77777777" w:rsidR="00CA6ADD" w:rsidRPr="00013847" w:rsidRDefault="00CA6ADD" w:rsidP="00CA6ADD">
      <w:pPr>
        <w:pStyle w:val="ListParagraph"/>
        <w:rPr>
          <w:rFonts w:ascii="Lato" w:hAnsi="Lato" w:cstheme="majorBidi"/>
          <w:sz w:val="22"/>
        </w:rPr>
      </w:pPr>
    </w:p>
    <w:p w14:paraId="4563EF69" w14:textId="77777777" w:rsidR="00CA6ADD" w:rsidRPr="00013847" w:rsidRDefault="00CA6ADD" w:rsidP="00CA6ADD">
      <w:pPr>
        <w:pStyle w:val="ListParagraph"/>
        <w:rPr>
          <w:rFonts w:ascii="Lato" w:hAnsi="Lato" w:cstheme="majorBidi"/>
          <w:sz w:val="22"/>
        </w:rPr>
      </w:pPr>
      <w:r w:rsidRPr="00013847">
        <w:rPr>
          <w:rFonts w:ascii="Lato" w:hAnsi="Lato" w:cstheme="majorBidi"/>
          <w:sz w:val="22"/>
        </w:rPr>
        <w:t>In addition to aligning with coordination platforms, the project exemplified effective collaboration among DRA partners. A prime example was the partnership between Save the Children and World Vision, which worked together to deliver joint response interventions in shared locations. This partnership not only enhanced operational efficiency but also amplified the project’s overall impact, demonstrating the value of coordinated, multi-actor humanitarian responses.</w:t>
      </w:r>
    </w:p>
    <w:p w14:paraId="34BFE7B1" w14:textId="77777777" w:rsidR="004A0FDF" w:rsidRPr="007865AF" w:rsidRDefault="004A0FDF" w:rsidP="004A0FDF">
      <w:pPr>
        <w:pStyle w:val="ListParagraph"/>
        <w:rPr>
          <w:rFonts w:ascii="Lato" w:hAnsi="Lato" w:cstheme="majorBidi"/>
          <w:sz w:val="22"/>
        </w:rPr>
      </w:pPr>
    </w:p>
    <w:p w14:paraId="3CFAA978" w14:textId="60E0B869" w:rsidR="00E549C6" w:rsidRPr="00281760" w:rsidRDefault="00F426CB" w:rsidP="00E81794">
      <w:pPr>
        <w:pStyle w:val="ListParagraph"/>
        <w:numPr>
          <w:ilvl w:val="0"/>
          <w:numId w:val="16"/>
        </w:numPr>
        <w:spacing w:before="0" w:after="200"/>
        <w:rPr>
          <w:rFonts w:ascii="Lato" w:hAnsi="Lato" w:cstheme="majorBidi"/>
          <w:b/>
          <w:sz w:val="22"/>
        </w:rPr>
      </w:pPr>
      <w:r w:rsidRPr="00281760">
        <w:rPr>
          <w:rFonts w:ascii="Lato" w:hAnsi="Lato" w:cstheme="majorBidi"/>
          <w:b/>
          <w:sz w:val="22"/>
        </w:rPr>
        <w:t>Localization</w:t>
      </w:r>
      <w:r w:rsidR="00F9523B" w:rsidRPr="007865AF">
        <w:rPr>
          <w:rStyle w:val="FootnoteReference"/>
          <w:rFonts w:ascii="Lato" w:hAnsi="Lato" w:cstheme="majorBidi"/>
          <w:b/>
          <w:sz w:val="22"/>
        </w:rPr>
        <w:footnoteReference w:id="2"/>
      </w:r>
      <w:r w:rsidR="000213E2" w:rsidRPr="00281760">
        <w:rPr>
          <w:rFonts w:ascii="Lato" w:hAnsi="Lato" w:cstheme="majorBidi"/>
          <w:b/>
          <w:sz w:val="22"/>
        </w:rPr>
        <w:t xml:space="preserve">: </w:t>
      </w:r>
    </w:p>
    <w:p w14:paraId="17A5E4B6" w14:textId="7855C164" w:rsidR="00E549C6" w:rsidRDefault="62EB2A49" w:rsidP="7DA89621">
      <w:pPr>
        <w:rPr>
          <w:rFonts w:ascii="Lato" w:eastAsia="Lato" w:hAnsi="Lato" w:cs="Lato"/>
          <w:sz w:val="22"/>
        </w:rPr>
      </w:pPr>
      <w:r w:rsidRPr="7DA89621">
        <w:rPr>
          <w:rFonts w:ascii="Lato" w:eastAsia="Lato" w:hAnsi="Lato" w:cs="Lato"/>
          <w:sz w:val="22"/>
        </w:rPr>
        <w:t>The project was implemented through close collaboration with the Joint Response (JR) members, including World Vision, Christian Aid, Plan International, Save the Children, IRC, and World Relief. This collective approach strengthened the efficiency of interventions in the context of an acute crisis in Haiti, marked by access challenges, insecurity, and increasing humanitarian needs. The project also prioritized localization by partnering with PRODEV, a local organization that played a crucial role in delivering efficient and effective education in emergencies (EiE) for vulnerable populations, especially children, in hard-to-reach communities.</w:t>
      </w:r>
    </w:p>
    <w:p w14:paraId="1C4819F7" w14:textId="77777777" w:rsidR="00CA6ADD" w:rsidRPr="007865AF" w:rsidRDefault="00CA6ADD" w:rsidP="7DA89621">
      <w:pPr>
        <w:rPr>
          <w:rFonts w:ascii="Lato" w:eastAsia="Lato" w:hAnsi="Lato" w:cs="Lato"/>
          <w:sz w:val="22"/>
        </w:rPr>
      </w:pPr>
    </w:p>
    <w:p w14:paraId="6F0295CC" w14:textId="583FC28A" w:rsidR="00E549C6" w:rsidRDefault="62EB2A49" w:rsidP="4CA2BE91">
      <w:pPr>
        <w:rPr>
          <w:rFonts w:ascii="Lato" w:eastAsia="Lato" w:hAnsi="Lato" w:cs="Lato"/>
          <w:sz w:val="22"/>
        </w:rPr>
      </w:pPr>
      <w:r w:rsidRPr="4CA2BE91">
        <w:rPr>
          <w:rFonts w:ascii="Lato" w:eastAsia="Lato" w:hAnsi="Lato" w:cs="Lato"/>
          <w:sz w:val="22"/>
        </w:rPr>
        <w:t xml:space="preserve">As a key local implementing partner of Save the Children, PRODEV enabled effective responses to the needs of vulnerable populations, especially children, in areas with difficult access. Having operated in Croix-des-Bouquets, near Cité Soleil, for over 14 years, PRODEV has established strong community acceptance and demonstrated expertise in managing schools and centers in underserved areas. Its trust-based relationships with local stakeholders, including parents and </w:t>
      </w:r>
      <w:r w:rsidRPr="4CA2BE91">
        <w:rPr>
          <w:rFonts w:ascii="Lato" w:eastAsia="Lato" w:hAnsi="Lato" w:cs="Lato"/>
          <w:sz w:val="22"/>
        </w:rPr>
        <w:lastRenderedPageBreak/>
        <w:t>religious leaders, were instrumental in ensuring uninterrupted project implementation despite security risks. Supported by Save the Children, PRODEV implemented the innovative Lèkol Katye model, a strategy for education in emergencies. This intervention established 18 community learning spaces, allowing 540 children from Ecole Nouvelle Zoranje and Ecole Nationale Zoranje to continue their education. These spaces, located near their communities, ensured continuity in learning for displaced children while providing safe environments that reduced risks such as abuse and exploitation. This initiative enabled these children to catch up on missed school time and prepared them to advance to the next grade level. PRODEV also trained teachers and community facilitators to ensure the quality of education services, following guidelines from the Ministry of Education. The efficient implementation of this model, which had been successfully piloted during previous crises, highlights the relevance and added value of partnering with PRODEV.</w:t>
      </w:r>
    </w:p>
    <w:p w14:paraId="2CF50DD3" w14:textId="77777777" w:rsidR="00CA6ADD" w:rsidRPr="007865AF" w:rsidRDefault="00CA6ADD" w:rsidP="7DA89621">
      <w:pPr>
        <w:rPr>
          <w:rFonts w:ascii="Lato" w:eastAsia="Lato" w:hAnsi="Lato" w:cs="Lato"/>
          <w:sz w:val="22"/>
        </w:rPr>
      </w:pPr>
    </w:p>
    <w:p w14:paraId="362C9D7B" w14:textId="76CAB711" w:rsidR="00E549C6" w:rsidRDefault="62EB2A49" w:rsidP="7DA89621">
      <w:pPr>
        <w:rPr>
          <w:rFonts w:ascii="Lato" w:eastAsia="Lato" w:hAnsi="Lato" w:cs="Lato"/>
          <w:sz w:val="22"/>
        </w:rPr>
      </w:pPr>
      <w:r w:rsidRPr="7DA89621">
        <w:rPr>
          <w:rFonts w:ascii="Lato" w:eastAsia="Lato" w:hAnsi="Lato" w:cs="Lato"/>
          <w:sz w:val="22"/>
        </w:rPr>
        <w:t>The project also benefited from close coordination with other JR members to maximize the impact of interventions and ensure complementary responses to identified needs. In partnership with World Vision, training was conducted to strengthen the capacities of 35 participants (29 women and 6 men) from 20 local organizations in managing cases of gender-based violence (GBV). This effort improved the quality of services provided to survivors of violence. A protection case referred by World Relief was supported by Save the Children, which provided cash assistance to enable the survivor to relocate to a safer environment with her child. Plan International, Christian Aid, and Save the Children collaborated to deliver training on child protection and referral mechanisms. This training enhanced the understanding and uptake of available referral processes for protection cases among all partners.</w:t>
      </w:r>
    </w:p>
    <w:p w14:paraId="1DB00A12" w14:textId="77777777" w:rsidR="00CA6ADD" w:rsidRPr="007865AF" w:rsidRDefault="00CA6ADD" w:rsidP="7DA89621">
      <w:pPr>
        <w:rPr>
          <w:rFonts w:ascii="Lato" w:eastAsia="Lato" w:hAnsi="Lato" w:cs="Lato"/>
          <w:sz w:val="22"/>
        </w:rPr>
      </w:pPr>
    </w:p>
    <w:p w14:paraId="06BCE258" w14:textId="38F351DC" w:rsidR="00E549C6" w:rsidRPr="007865AF" w:rsidRDefault="62EB2A49" w:rsidP="7DA89621">
      <w:pPr>
        <w:rPr>
          <w:rFonts w:ascii="Lato" w:eastAsia="Lato" w:hAnsi="Lato" w:cs="Lato"/>
          <w:sz w:val="22"/>
        </w:rPr>
      </w:pPr>
      <w:r w:rsidRPr="7DA89621">
        <w:rPr>
          <w:rFonts w:ascii="Lato" w:eastAsia="Lato" w:hAnsi="Lato" w:cs="Lato"/>
          <w:sz w:val="22"/>
        </w:rPr>
        <w:t>The collaboration with PRODEV highlights the critical role of localization in humanitarian responses. In addition to ensuring access to affected communities, PRODEV demonstrated its ability to tailor solutions to local needs while maintaining an inclusive and participatory approach. This partnership not only enabled continuous education for the most vulnerable children but also strengthened ties between schools and communities, ensuring local ownership and fostering sustainability. This collaborative and localized approach effectively addressed critical needs in the context of an acute crisis while leveraging the strengths of both international and local organizations to meet the complex challenges and humanitarian needs of the most vulnerable populations in Haiti.</w:t>
      </w:r>
    </w:p>
    <w:p w14:paraId="7EAB426B" w14:textId="7E7B3263" w:rsidR="00E549C6" w:rsidRPr="007865AF" w:rsidRDefault="00E549C6" w:rsidP="7DA89621">
      <w:pPr>
        <w:pStyle w:val="ListParagraph"/>
        <w:spacing w:before="0" w:after="200"/>
        <w:ind w:left="720"/>
        <w:rPr>
          <w:rFonts w:ascii="Lato" w:hAnsi="Lato" w:cstheme="majorBidi"/>
          <w:sz w:val="22"/>
          <w:lang w:val="en-CA"/>
        </w:rPr>
      </w:pPr>
    </w:p>
    <w:p w14:paraId="50FC8C6C" w14:textId="77777777" w:rsidR="00E549C6" w:rsidRPr="007865AF" w:rsidRDefault="00E549C6" w:rsidP="005B1753">
      <w:pPr>
        <w:pStyle w:val="ListParagraph"/>
        <w:spacing w:before="0" w:after="200"/>
        <w:ind w:left="720"/>
        <w:rPr>
          <w:rFonts w:ascii="Lato" w:hAnsi="Lato" w:cstheme="majorBidi"/>
          <w:sz w:val="22"/>
        </w:rPr>
      </w:pPr>
    </w:p>
    <w:p w14:paraId="365010EC" w14:textId="59043EF0" w:rsidR="00E549C6" w:rsidRPr="007865AF" w:rsidRDefault="00E549C6" w:rsidP="2CDC475C">
      <w:pPr>
        <w:pStyle w:val="ListParagraph"/>
        <w:numPr>
          <w:ilvl w:val="0"/>
          <w:numId w:val="16"/>
        </w:numPr>
        <w:spacing w:before="0" w:after="200"/>
        <w:rPr>
          <w:rFonts w:ascii="Lato" w:hAnsi="Lato" w:cstheme="majorBidi"/>
          <w:sz w:val="22"/>
        </w:rPr>
      </w:pPr>
      <w:r w:rsidRPr="2CDC475C">
        <w:rPr>
          <w:rFonts w:ascii="Lato" w:hAnsi="Lato" w:cstheme="majorBidi"/>
          <w:b/>
          <w:bCs/>
          <w:sz w:val="22"/>
        </w:rPr>
        <w:t>Personal Interest Story / Human Interest Story:</w:t>
      </w:r>
    </w:p>
    <w:p w14:paraId="6BD52255" w14:textId="30DC4F90" w:rsidR="2CDC475C" w:rsidRDefault="2CDC475C" w:rsidP="2CDC475C">
      <w:pPr>
        <w:spacing w:after="200"/>
        <w:rPr>
          <w:rFonts w:ascii="Lato" w:hAnsi="Lato" w:cstheme="majorBidi"/>
          <w:sz w:val="22"/>
        </w:rPr>
      </w:pPr>
    </w:p>
    <w:p w14:paraId="21662D24" w14:textId="33A4353A" w:rsidR="20CA9BE0" w:rsidRDefault="20CA9BE0" w:rsidP="4CA2BE91">
      <w:pPr>
        <w:spacing w:after="200"/>
        <w:rPr>
          <w:rFonts w:ascii="Lato" w:hAnsi="Lato" w:cstheme="majorBidi"/>
          <w:b/>
          <w:bCs/>
          <w:sz w:val="22"/>
        </w:rPr>
      </w:pPr>
      <w:r w:rsidRPr="4CA2BE91">
        <w:rPr>
          <w:rFonts w:ascii="Lato" w:hAnsi="Lato" w:cstheme="majorBidi"/>
          <w:b/>
          <w:bCs/>
          <w:sz w:val="22"/>
        </w:rPr>
        <w:t xml:space="preserve">The story of </w:t>
      </w:r>
      <w:r w:rsidR="6165CA71" w:rsidRPr="00B30EAE">
        <w:rPr>
          <w:rFonts w:ascii="Lato" w:hAnsi="Lato" w:cstheme="majorBidi"/>
          <w:b/>
          <w:bCs/>
          <w:sz w:val="22"/>
        </w:rPr>
        <w:t xml:space="preserve"> Julien Odèse</w:t>
      </w:r>
      <w:r w:rsidRPr="4CA2BE91">
        <w:rPr>
          <w:rFonts w:ascii="Lato" w:hAnsi="Lato" w:cstheme="majorBidi"/>
          <w:b/>
          <w:bCs/>
          <w:sz w:val="22"/>
        </w:rPr>
        <w:t>, a</w:t>
      </w:r>
      <w:r w:rsidR="075628D1" w:rsidRPr="4CA2BE91">
        <w:rPr>
          <w:rFonts w:ascii="Lato" w:hAnsi="Lato" w:cstheme="majorBidi"/>
          <w:b/>
          <w:bCs/>
          <w:sz w:val="22"/>
        </w:rPr>
        <w:t xml:space="preserve"> </w:t>
      </w:r>
      <w:r w:rsidRPr="4CA2BE91">
        <w:rPr>
          <w:rFonts w:ascii="Lato" w:hAnsi="Lato" w:cstheme="majorBidi"/>
          <w:b/>
          <w:bCs/>
          <w:sz w:val="22"/>
        </w:rPr>
        <w:t xml:space="preserve">woman who lost her husband and her home. </w:t>
      </w:r>
    </w:p>
    <w:p w14:paraId="4EDD1583" w14:textId="586A5CA0" w:rsidR="20CA9BE0" w:rsidRDefault="20CA9BE0" w:rsidP="2CDC475C">
      <w:pPr>
        <w:spacing w:after="200"/>
      </w:pPr>
      <w:r w:rsidRPr="4CA2BE91">
        <w:rPr>
          <w:rFonts w:ascii="Lato" w:hAnsi="Lato" w:cstheme="majorBidi"/>
          <w:sz w:val="22"/>
        </w:rPr>
        <w:t xml:space="preserve"> </w:t>
      </w:r>
    </w:p>
    <w:p w14:paraId="4535CF5B" w14:textId="26E77DAF" w:rsidR="538211DB" w:rsidRDefault="538211DB" w:rsidP="4CA2BE91">
      <w:pPr>
        <w:spacing w:after="200"/>
        <w:rPr>
          <w:rFonts w:ascii="Lato" w:hAnsi="Lato" w:cstheme="majorBidi"/>
          <w:sz w:val="22"/>
        </w:rPr>
      </w:pPr>
      <w:r w:rsidRPr="4CA2BE91">
        <w:rPr>
          <w:rFonts w:ascii="Lato" w:hAnsi="Lato" w:cstheme="majorBidi"/>
          <w:sz w:val="22"/>
        </w:rPr>
        <w:t>Julien Odèse's story is a heart-rending cry torn from the brutal reality of Haiti. Beyond the numbers and statistics, it's a poignant portrait of a woman shattered by violence, but who rises up with incredible strength to protect her children.</w:t>
      </w:r>
    </w:p>
    <w:p w14:paraId="54789728" w14:textId="1EDF17A2" w:rsidR="4CA2BE91" w:rsidRDefault="4CA2BE91" w:rsidP="4CA2BE91">
      <w:pPr>
        <w:spacing w:after="200"/>
        <w:rPr>
          <w:rFonts w:ascii="Lato" w:hAnsi="Lato" w:cstheme="majorBidi"/>
          <w:sz w:val="22"/>
        </w:rPr>
      </w:pPr>
    </w:p>
    <w:p w14:paraId="678320AF" w14:textId="12F52860" w:rsidR="538211DB" w:rsidRDefault="538211DB" w:rsidP="00B30EAE">
      <w:pPr>
        <w:spacing w:after="200"/>
        <w:rPr>
          <w:rFonts w:ascii="Lato" w:hAnsi="Lato" w:cstheme="majorBidi"/>
          <w:sz w:val="22"/>
        </w:rPr>
      </w:pPr>
      <w:r w:rsidRPr="4CA2BE91">
        <w:rPr>
          <w:rFonts w:ascii="Lato" w:hAnsi="Lato" w:cstheme="majorBidi"/>
          <w:sz w:val="22"/>
        </w:rPr>
        <w:t>Julien Odèse is 37 years old and the mother of eight children. Since January 30, 2024, her life has been a nightmare. That day, bandits invaded her house in Pernier, in the Galette Roches Blanches neighborhood. They murdered her husband. Everything she had, everything she and her husband had built up over the years, was gone in a matter of hours. Since then, she has raised her children alone, without a husband, without shelter, without resources.</w:t>
      </w:r>
    </w:p>
    <w:p w14:paraId="00BB5CD9" w14:textId="0024AA85" w:rsidR="538211DB" w:rsidRDefault="538211DB" w:rsidP="4CA2BE91">
      <w:pPr>
        <w:spacing w:after="200"/>
        <w:rPr>
          <w:rFonts w:ascii="Lato" w:hAnsi="Lato" w:cstheme="majorBidi"/>
          <w:sz w:val="22"/>
        </w:rPr>
      </w:pPr>
      <w:r w:rsidRPr="4CA2BE91">
        <w:rPr>
          <w:rFonts w:ascii="Lato" w:hAnsi="Lato" w:cstheme="majorBidi"/>
          <w:sz w:val="22"/>
        </w:rPr>
        <w:lastRenderedPageBreak/>
        <w:t>Before this tragedy, she was a shopkeeper. She sold rice, flour, oil... Sometimes she walked the streets to sell, sometimes she stayed at home with her children while her husband worked the land. Her husband loved gardening and sometimes went to cockfights. They weren't rich, but they had a simple life, a family life. She never imagined that she would be destroyed in this way.</w:t>
      </w:r>
    </w:p>
    <w:p w14:paraId="0C34D212" w14:textId="371ABA61" w:rsidR="4CA2BE91" w:rsidRDefault="4CA2BE91" w:rsidP="4CA2BE91">
      <w:pPr>
        <w:spacing w:after="200"/>
        <w:rPr>
          <w:rFonts w:ascii="Lato" w:hAnsi="Lato" w:cstheme="majorBidi"/>
          <w:sz w:val="22"/>
        </w:rPr>
      </w:pPr>
    </w:p>
    <w:p w14:paraId="1F1128EE" w14:textId="7C0B8F23" w:rsidR="538211DB" w:rsidRDefault="538211DB" w:rsidP="4CA2BE91">
      <w:pPr>
        <w:spacing w:after="200"/>
        <w:rPr>
          <w:rFonts w:ascii="Lato" w:hAnsi="Lato" w:cstheme="majorBidi"/>
          <w:sz w:val="22"/>
        </w:rPr>
      </w:pPr>
      <w:r w:rsidRPr="4CA2BE91">
        <w:rPr>
          <w:rFonts w:ascii="Lato" w:hAnsi="Lato" w:cstheme="majorBidi"/>
          <w:sz w:val="22"/>
        </w:rPr>
        <w:t>On January 30, when shots were already ringing out in the area, her husband told her he had to go out and check on his work in the Fatima area. She begged him to stay, but he got on his bike, as usual, and left. A few hours later, she was told what had happened: three armed men chased her husband and shot him. They shot him in the head, then in the stomach, and left him there, dead, behind a wall. The day after this series of attacks, they called her to collect his body, but she had neither the strength nor the means to take care of it. He left her alone, with their eight children and nothing to feed them.</w:t>
      </w:r>
    </w:p>
    <w:p w14:paraId="61BC27C8" w14:textId="601F3E30" w:rsidR="4CA2BE91" w:rsidRDefault="4CA2BE91" w:rsidP="4CA2BE91">
      <w:pPr>
        <w:spacing w:after="200"/>
        <w:rPr>
          <w:rFonts w:ascii="Lato" w:hAnsi="Lato" w:cstheme="majorBidi"/>
          <w:sz w:val="22"/>
        </w:rPr>
      </w:pPr>
    </w:p>
    <w:p w14:paraId="3AC54A99" w14:textId="6CCF06B8" w:rsidR="538211DB" w:rsidRDefault="538211DB" w:rsidP="4CA2BE91">
      <w:pPr>
        <w:spacing w:after="200"/>
        <w:rPr>
          <w:rFonts w:ascii="Lato" w:hAnsi="Lato" w:cstheme="majorBidi"/>
          <w:sz w:val="22"/>
        </w:rPr>
      </w:pPr>
      <w:r w:rsidRPr="4CA2BE91">
        <w:rPr>
          <w:rFonts w:ascii="Lato" w:hAnsi="Lato" w:cstheme="majorBidi"/>
          <w:sz w:val="22"/>
        </w:rPr>
        <w:t>On January 31, she arrived at a camp with four of my children. The two youngest are with her, while the two oldest are staying with friends, far from this chaotic camp where she doesn't want them to grow up. Two of her other children are with her mother in Port-de-Paix. Every day is a struggle. She has nothing to feed them. Sometimes she begs on Route des Frères or in Pétion-Ville, just to offer them a meal. Sometimes she comes back with bags of provisions, but it's never enough. Odese's family lives in a misery she could never have imagined.</w:t>
      </w:r>
    </w:p>
    <w:p w14:paraId="7C1C495A" w14:textId="547EF9FE" w:rsidR="005A05D6" w:rsidRDefault="005A05D6" w:rsidP="4CA2BE91">
      <w:pPr>
        <w:spacing w:after="200"/>
        <w:rPr>
          <w:rFonts w:ascii="Lato" w:hAnsi="Lato" w:cstheme="majorBidi"/>
          <w:sz w:val="22"/>
        </w:rPr>
      </w:pPr>
    </w:p>
    <w:p w14:paraId="38F65BA4" w14:textId="7DB52062" w:rsidR="538211DB" w:rsidRDefault="538211DB" w:rsidP="4CA2BE91">
      <w:pPr>
        <w:spacing w:after="200"/>
        <w:rPr>
          <w:rFonts w:ascii="Lato" w:hAnsi="Lato" w:cstheme="majorBidi"/>
          <w:sz w:val="22"/>
        </w:rPr>
      </w:pPr>
      <w:r w:rsidRPr="4CA2BE91">
        <w:rPr>
          <w:rFonts w:ascii="Lato" w:hAnsi="Lato" w:cstheme="majorBidi"/>
          <w:sz w:val="22"/>
        </w:rPr>
        <w:t>Her youngest child is ill. He's had a fever for several days, and she can't afford to take him to a doctor. She has tried to take him to a health center, but she doesn't have enough money to continue treating him. Every day, she watches helplessly as he suffers.</w:t>
      </w:r>
    </w:p>
    <w:p w14:paraId="52F3E3ED" w14:textId="2694B9A1" w:rsidR="4CA2BE91" w:rsidRDefault="4CA2BE91" w:rsidP="4CA2BE91">
      <w:pPr>
        <w:spacing w:after="200"/>
        <w:rPr>
          <w:rFonts w:ascii="Lato" w:hAnsi="Lato" w:cstheme="majorBidi"/>
          <w:sz w:val="22"/>
        </w:rPr>
      </w:pPr>
    </w:p>
    <w:p w14:paraId="11D03281" w14:textId="76EA56DE" w:rsidR="538211DB" w:rsidRDefault="538211DB" w:rsidP="00B30EAE">
      <w:pPr>
        <w:spacing w:after="200"/>
        <w:rPr>
          <w:rFonts w:ascii="Lato" w:hAnsi="Lato" w:cstheme="majorBidi"/>
          <w:sz w:val="22"/>
        </w:rPr>
      </w:pPr>
      <w:r w:rsidRPr="4CA2BE91">
        <w:rPr>
          <w:rFonts w:ascii="Lato" w:hAnsi="Lato" w:cstheme="majorBidi"/>
          <w:sz w:val="22"/>
        </w:rPr>
        <w:t>In September 2024, Save the Children offered her a grant that will enable her to leave the camp and relocate or return to Port-de-Paix, to my mother's home town. She doesn't know what the future holds for her there, but she doesn't want to stay in the camp any longer.</w:t>
      </w:r>
    </w:p>
    <w:p w14:paraId="40C61F16" w14:textId="542F3D84" w:rsidR="4CA2BE91" w:rsidRDefault="4CA2BE91" w:rsidP="4CA2BE91">
      <w:pPr>
        <w:spacing w:after="200"/>
        <w:rPr>
          <w:rFonts w:ascii="Lato" w:hAnsi="Lato" w:cstheme="majorBidi"/>
          <w:sz w:val="22"/>
        </w:rPr>
      </w:pPr>
    </w:p>
    <w:p w14:paraId="57BA5DB7" w14:textId="59937677" w:rsidR="538211DB" w:rsidRDefault="538211DB" w:rsidP="4CA2BE91">
      <w:pPr>
        <w:spacing w:after="200"/>
        <w:rPr>
          <w:rFonts w:ascii="Lato" w:hAnsi="Lato" w:cstheme="majorBidi"/>
          <w:sz w:val="22"/>
        </w:rPr>
      </w:pPr>
      <w:r w:rsidRPr="4CA2BE91">
        <w:rPr>
          <w:rFonts w:ascii="Lato" w:hAnsi="Lato" w:cstheme="majorBidi"/>
          <w:sz w:val="22"/>
        </w:rPr>
        <w:t>She's worried about her children's future. Her two daughters, her babies, and especially her 17-year-old son. She wants them to go to school, to have a better future, but this year she couldn't afford it. She has to take care of her daughters, but how? She has no money, no resources. Odese feels exhausted, both physically and mentally. All she wants is help for her children. She wants to give them a roof over their heads, food to eat, and the chance to go to school. But she can't do it alone.</w:t>
      </w:r>
    </w:p>
    <w:p w14:paraId="4F03958A" w14:textId="3586F954" w:rsidR="4CA2BE91" w:rsidRDefault="4CA2BE91" w:rsidP="4CA2BE91">
      <w:pPr>
        <w:spacing w:after="200"/>
        <w:rPr>
          <w:rFonts w:ascii="Lato" w:hAnsi="Lato" w:cstheme="majorBidi"/>
          <w:sz w:val="22"/>
        </w:rPr>
      </w:pPr>
    </w:p>
    <w:p w14:paraId="4A536B78" w14:textId="20345015" w:rsidR="538211DB" w:rsidRDefault="538211DB" w:rsidP="4CA2BE91">
      <w:pPr>
        <w:spacing w:after="200"/>
        <w:rPr>
          <w:rFonts w:ascii="Lato" w:hAnsi="Lato" w:cstheme="majorBidi"/>
          <w:sz w:val="22"/>
        </w:rPr>
      </w:pPr>
      <w:r w:rsidRPr="4CA2BE91">
        <w:rPr>
          <w:rFonts w:ascii="Lato" w:hAnsi="Lato" w:cstheme="majorBidi"/>
          <w:sz w:val="22"/>
        </w:rPr>
        <w:t>When Save the Children staff first visited Odèse's camp to talk about the housing assistance program for displaced families, the mother of one was skeptical at first, but hope slowly began to grow in her. After several interviews and administrative procedures with local players, she was selected to benefit from the program. A fee to enable her to rent a small house and rehouse herself and her children decently. She could already see her children sleeping in comfortable beds, safe at last.</w:t>
      </w:r>
    </w:p>
    <w:p w14:paraId="01823CC7" w14:textId="0FBB8744" w:rsidR="4CA2BE91" w:rsidRDefault="4CA2BE91" w:rsidP="4CA2BE91">
      <w:pPr>
        <w:spacing w:after="200"/>
        <w:rPr>
          <w:rFonts w:ascii="Lato" w:hAnsi="Lato" w:cstheme="majorBidi"/>
          <w:sz w:val="22"/>
        </w:rPr>
      </w:pPr>
    </w:p>
    <w:p w14:paraId="2AA061CA" w14:textId="3C817F87" w:rsidR="4CA2BE91" w:rsidRDefault="538211DB" w:rsidP="4CA2BE91">
      <w:pPr>
        <w:spacing w:after="200"/>
        <w:rPr>
          <w:rFonts w:ascii="Lato" w:hAnsi="Lato" w:cstheme="majorBidi"/>
          <w:sz w:val="22"/>
        </w:rPr>
      </w:pPr>
      <w:r w:rsidRPr="4CA2BE91">
        <w:rPr>
          <w:rFonts w:ascii="Lato" w:eastAsia="Lato" w:hAnsi="Lato" w:cs="Lato"/>
          <w:sz w:val="22"/>
        </w:rPr>
        <w:t xml:space="preserve">Today, Odèse and her children have settled into their new home. It's their new home, a place where they can rebuild and heal the wounds of the past. The children are relieved in the garden, laughing and playing. Odèse looked at them, a huge smile on her face. She'd been through hell, but the love of her children and the generosity of others had given her a new lease on life. This new life would not be easy with the multi-dimensional crisis still affecting thousands of families in Haiti. Odèse knew she would face many challenges. But she was determined to offer her children a </w:t>
      </w:r>
      <w:r w:rsidRPr="4CA2BE91">
        <w:rPr>
          <w:rFonts w:ascii="Lato" w:eastAsia="Lato" w:hAnsi="Lato" w:cs="Lato"/>
          <w:sz w:val="22"/>
        </w:rPr>
        <w:lastRenderedPageBreak/>
        <w:t>better future. Especially her daughters, who are with her again, far from all the risks in the camps, where fear and misery were the only companions.</w:t>
      </w:r>
    </w:p>
    <w:p w14:paraId="23A1B5E0" w14:textId="04F979C0" w:rsidR="4CA2BE91" w:rsidRDefault="4CA2BE91" w:rsidP="4CA2BE91">
      <w:pPr>
        <w:spacing w:after="200"/>
        <w:rPr>
          <w:rFonts w:ascii="Lato" w:hAnsi="Lato" w:cstheme="majorBidi"/>
          <w:sz w:val="22"/>
        </w:rPr>
      </w:pPr>
    </w:p>
    <w:p w14:paraId="473E32A8" w14:textId="105586BA" w:rsidR="00165814" w:rsidRDefault="00165814" w:rsidP="4CA2BE91">
      <w:pPr>
        <w:spacing w:after="200"/>
        <w:jc w:val="left"/>
        <w:rPr>
          <w:rStyle w:val="Hyperlink"/>
          <w:rFonts w:ascii="Segoe UI" w:hAnsi="Segoe UI" w:cs="Segoe UI"/>
          <w:sz w:val="18"/>
          <w:szCs w:val="18"/>
        </w:rPr>
      </w:pPr>
      <w:r>
        <w:t xml:space="preserve">Link to access photos: </w:t>
      </w:r>
    </w:p>
    <w:p w14:paraId="2729E09C" w14:textId="105586BA" w:rsidR="00165814" w:rsidRDefault="3BD8A291" w:rsidP="00165814">
      <w:pPr>
        <w:spacing w:after="200"/>
        <w:jc w:val="left"/>
        <w:rPr>
          <w:rFonts w:ascii="Segoe UI" w:hAnsi="Segoe UI" w:cs="Segoe UI"/>
          <w:color w:val="333333"/>
          <w:sz w:val="18"/>
          <w:szCs w:val="18"/>
          <w:shd w:val="clear" w:color="auto" w:fill="FFFFFF"/>
        </w:rPr>
      </w:pPr>
      <w:hyperlink r:id="rId11" w:history="1">
        <w:r w:rsidRPr="4CA2BE91">
          <w:rPr>
            <w:rStyle w:val="Hyperlink"/>
            <w:rFonts w:ascii="Segoe UI" w:eastAsia="Segoe UI" w:hAnsi="Segoe UI" w:cs="Segoe UI"/>
            <w:sz w:val="18"/>
            <w:szCs w:val="18"/>
          </w:rPr>
          <w:t>https://savethechildren1-my.sharepoint.com/:f:/g/personal/anderson_pierre_savethechildren_org/Eo6eehJo0XRBsPkRCSCiqQkBUYBm0wjc5Aq9apgcVhyyxg?email=fadson.israel%40savethechildren.org&amp;e=qYtlyg</w:t>
        </w:r>
      </w:hyperlink>
      <w:r w:rsidRPr="4CA2BE91">
        <w:rPr>
          <w:rFonts w:ascii="Segoe UI" w:eastAsia="Segoe UI" w:hAnsi="Segoe UI" w:cs="Segoe UI"/>
          <w:sz w:val="18"/>
          <w:szCs w:val="18"/>
        </w:rPr>
        <w:t xml:space="preserve"> </w:t>
      </w:r>
    </w:p>
    <w:p w14:paraId="2B67FC4A" w14:textId="769E7E84" w:rsidR="005A05D6" w:rsidRDefault="005A05D6" w:rsidP="00165814">
      <w:pPr>
        <w:spacing w:after="200"/>
        <w:jc w:val="left"/>
      </w:pPr>
    </w:p>
    <w:sectPr w:rsidR="005A05D6">
      <w:footerReference w:type="default" r:id="rId12"/>
      <w:footnotePr>
        <w:numFmt w:val="chicago"/>
      </w:footnotePr>
      <w:pgSz w:w="17035" w:h="15840"/>
      <w:pgMar w:top="1440" w:right="6235"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4BB6B" w14:textId="77777777" w:rsidR="008136EC" w:rsidRDefault="008136EC" w:rsidP="00F1405D">
      <w:r>
        <w:separator/>
      </w:r>
    </w:p>
  </w:endnote>
  <w:endnote w:type="continuationSeparator" w:id="0">
    <w:p w14:paraId="10FD79D1" w14:textId="77777777" w:rsidR="008136EC" w:rsidRDefault="008136EC" w:rsidP="00F1405D">
      <w:r>
        <w:continuationSeparator/>
      </w:r>
    </w:p>
  </w:endnote>
  <w:endnote w:type="continuationNotice" w:id="1">
    <w:p w14:paraId="435F1105" w14:textId="77777777" w:rsidR="008136EC" w:rsidRDefault="008136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hronicle Text G1">
    <w:altName w:val="Arial"/>
    <w:panose1 w:val="00000000000000000000"/>
    <w:charset w:val="00"/>
    <w:family w:val="modern"/>
    <w:notTrueType/>
    <w:pitch w:val="variable"/>
    <w:sig w:usb0="00000001" w:usb1="5000405B" w:usb2="00000000" w:usb3="00000000" w:csb0="0000000B"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68EC5" w14:textId="55EDD9CC" w:rsidR="00F450CB" w:rsidRPr="00947219" w:rsidRDefault="00F450CB">
    <w:pPr>
      <w:pStyle w:val="Footer"/>
      <w:jc w:val="right"/>
      <w:rPr>
        <w:rFonts w:asciiTheme="majorBidi" w:hAnsiTheme="majorBidi" w:cstheme="majorBidi"/>
        <w:sz w:val="20"/>
        <w:szCs w:val="20"/>
      </w:rPr>
    </w:pPr>
    <w:r w:rsidRPr="00947219">
      <w:rPr>
        <w:rFonts w:asciiTheme="majorBidi" w:hAnsiTheme="majorBidi" w:cstheme="majorBidi"/>
        <w:sz w:val="20"/>
        <w:szCs w:val="20"/>
      </w:rPr>
      <w:t xml:space="preserve"> </w:t>
    </w:r>
    <w:r w:rsidRPr="00947219">
      <w:rPr>
        <w:rFonts w:asciiTheme="majorBidi" w:hAnsiTheme="majorBidi" w:cstheme="majorBidi"/>
        <w:sz w:val="20"/>
        <w:szCs w:val="20"/>
      </w:rPr>
      <w:tab/>
    </w:r>
    <w:r w:rsidRPr="00947219">
      <w:rPr>
        <w:rFonts w:asciiTheme="majorBidi" w:hAnsiTheme="majorBidi" w:cstheme="majorBidi"/>
        <w:sz w:val="20"/>
        <w:szCs w:val="20"/>
      </w:rPr>
      <w:tab/>
    </w:r>
    <w:sdt>
      <w:sdtPr>
        <w:rPr>
          <w:rFonts w:asciiTheme="majorBidi" w:hAnsiTheme="majorBidi" w:cstheme="majorBidi"/>
          <w:sz w:val="20"/>
          <w:szCs w:val="20"/>
        </w:rPr>
        <w:id w:val="1619098601"/>
        <w:docPartObj>
          <w:docPartGallery w:val="Page Numbers (Bottom of Page)"/>
          <w:docPartUnique/>
        </w:docPartObj>
      </w:sdtPr>
      <w:sdtEndPr>
        <w:rPr>
          <w:noProof/>
        </w:rPr>
      </w:sdtEndPr>
      <w:sdtContent>
        <w:r w:rsidRPr="00947219">
          <w:rPr>
            <w:rFonts w:asciiTheme="majorBidi" w:hAnsiTheme="majorBidi" w:cstheme="majorBidi"/>
            <w:sz w:val="20"/>
            <w:szCs w:val="20"/>
          </w:rPr>
          <w:fldChar w:fldCharType="begin"/>
        </w:r>
        <w:r w:rsidRPr="00947219">
          <w:rPr>
            <w:rFonts w:asciiTheme="majorBidi" w:hAnsiTheme="majorBidi" w:cstheme="majorBidi"/>
            <w:sz w:val="20"/>
            <w:szCs w:val="20"/>
          </w:rPr>
          <w:instrText xml:space="preserve"> PAGE   \* MERGEFORMAT </w:instrText>
        </w:r>
        <w:r w:rsidRPr="00947219">
          <w:rPr>
            <w:rFonts w:asciiTheme="majorBidi" w:hAnsiTheme="majorBidi" w:cstheme="majorBidi"/>
            <w:sz w:val="20"/>
            <w:szCs w:val="20"/>
          </w:rPr>
          <w:fldChar w:fldCharType="separate"/>
        </w:r>
        <w:r w:rsidR="00034980">
          <w:rPr>
            <w:rFonts w:asciiTheme="majorBidi" w:hAnsiTheme="majorBidi" w:cstheme="majorBidi"/>
            <w:noProof/>
            <w:sz w:val="20"/>
            <w:szCs w:val="20"/>
          </w:rPr>
          <w:t>7</w:t>
        </w:r>
        <w:r w:rsidRPr="00947219">
          <w:rPr>
            <w:rFonts w:asciiTheme="majorBidi" w:hAnsiTheme="majorBidi" w:cstheme="majorBidi"/>
            <w:noProof/>
            <w:sz w:val="20"/>
            <w:szCs w:val="20"/>
          </w:rPr>
          <w:fldChar w:fldCharType="end"/>
        </w:r>
      </w:sdtContent>
    </w:sdt>
  </w:p>
  <w:p w14:paraId="09BEF801" w14:textId="77777777" w:rsidR="00F450CB" w:rsidRPr="00947219" w:rsidRDefault="00F450CB">
    <w:pPr>
      <w:pStyle w:val="Footer"/>
      <w:rPr>
        <w:rFonts w:asciiTheme="majorBidi" w:hAnsiTheme="majorBidi" w:cstheme="majorBid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8AF3F" w14:textId="77777777" w:rsidR="008136EC" w:rsidRDefault="008136EC" w:rsidP="00F1405D">
      <w:r>
        <w:separator/>
      </w:r>
    </w:p>
  </w:footnote>
  <w:footnote w:type="continuationSeparator" w:id="0">
    <w:p w14:paraId="2E01120A" w14:textId="77777777" w:rsidR="008136EC" w:rsidRDefault="008136EC" w:rsidP="00F1405D">
      <w:r>
        <w:continuationSeparator/>
      </w:r>
    </w:p>
  </w:footnote>
  <w:footnote w:type="continuationNotice" w:id="1">
    <w:p w14:paraId="66423AEC" w14:textId="77777777" w:rsidR="008136EC" w:rsidRDefault="008136EC"/>
  </w:footnote>
  <w:footnote w:id="2">
    <w:p w14:paraId="1C187B55" w14:textId="025B9D7D" w:rsidR="00F9523B" w:rsidRPr="00F9523B" w:rsidRDefault="00F9523B">
      <w:pPr>
        <w:pStyle w:val="FootnoteText"/>
        <w:rPr>
          <w:rFonts w:ascii="Times New Roman" w:hAnsi="Times New Roman" w:cs="Times New Roman"/>
          <w:lang w:val="en-US"/>
        </w:rPr>
      </w:pPr>
      <w:r w:rsidRPr="003B5EBC">
        <w:rPr>
          <w:rStyle w:val="FootnoteReference"/>
          <w:rFonts w:ascii="Times New Roman" w:hAnsi="Times New Roman" w:cs="Times New Roman"/>
        </w:rPr>
        <w:footnoteRef/>
      </w:r>
      <w:r w:rsidRPr="003B5EBC">
        <w:rPr>
          <w:rFonts w:ascii="Times New Roman" w:hAnsi="Times New Roman" w:cs="Times New Roman"/>
        </w:rPr>
        <w:t xml:space="preserve"> Joint Responses are encouraged to follow the DRA Guidance Note on Localization (developed by the DRA Localization WG)</w:t>
      </w:r>
    </w:p>
  </w:footnote>
</w:footnotes>
</file>

<file path=word/intelligence2.xml><?xml version="1.0" encoding="utf-8"?>
<int2:intelligence xmlns:int2="http://schemas.microsoft.com/office/intelligence/2020/intelligence" xmlns:oel="http://schemas.microsoft.com/office/2019/extlst">
  <int2:observations>
    <int2:bookmark int2:bookmarkName="_Int_S6PdIgk4" int2:invalidationBookmarkName="" int2:hashCode="Xt8Y9G6ki4ee/a" int2:id="oFfwF9jg">
      <int2:state int2:value="Reviewed" int2:type="WordDesignerSuggestedImage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667C6"/>
    <w:multiLevelType w:val="hybridMultilevel"/>
    <w:tmpl w:val="86529F76"/>
    <w:lvl w:ilvl="0" w:tplc="2040B926">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E1580B"/>
    <w:multiLevelType w:val="hybridMultilevel"/>
    <w:tmpl w:val="39DC0D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6706D86"/>
    <w:multiLevelType w:val="hybridMultilevel"/>
    <w:tmpl w:val="5ABAF11C"/>
    <w:lvl w:ilvl="0" w:tplc="6C36D9C0">
      <w:numFmt w:val="bullet"/>
      <w:lvlText w:val="-"/>
      <w:lvlJc w:val="left"/>
      <w:pPr>
        <w:ind w:left="1080" w:hanging="360"/>
      </w:pPr>
      <w:rPr>
        <w:rFonts w:ascii="Times New Roman" w:eastAsiaTheme="minorHAnsi" w:hAnsi="Times New Roman"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17E18344"/>
    <w:multiLevelType w:val="hybridMultilevel"/>
    <w:tmpl w:val="FFFFFFFF"/>
    <w:lvl w:ilvl="0" w:tplc="A7561A58">
      <w:start w:val="1"/>
      <w:numFmt w:val="bullet"/>
      <w:lvlText w:val=""/>
      <w:lvlJc w:val="left"/>
      <w:pPr>
        <w:ind w:left="720" w:hanging="360"/>
      </w:pPr>
      <w:rPr>
        <w:rFonts w:ascii="Symbol" w:hAnsi="Symbol" w:hint="default"/>
      </w:rPr>
    </w:lvl>
    <w:lvl w:ilvl="1" w:tplc="1D8CF6D4">
      <w:start w:val="1"/>
      <w:numFmt w:val="bullet"/>
      <w:lvlText w:val="o"/>
      <w:lvlJc w:val="left"/>
      <w:pPr>
        <w:ind w:left="1440" w:hanging="360"/>
      </w:pPr>
      <w:rPr>
        <w:rFonts w:ascii="Courier New" w:hAnsi="Courier New" w:hint="default"/>
      </w:rPr>
    </w:lvl>
    <w:lvl w:ilvl="2" w:tplc="ACE8AFCC">
      <w:start w:val="1"/>
      <w:numFmt w:val="bullet"/>
      <w:lvlText w:val=""/>
      <w:lvlJc w:val="left"/>
      <w:pPr>
        <w:ind w:left="2160" w:hanging="360"/>
      </w:pPr>
      <w:rPr>
        <w:rFonts w:ascii="Wingdings" w:hAnsi="Wingdings" w:hint="default"/>
      </w:rPr>
    </w:lvl>
    <w:lvl w:ilvl="3" w:tplc="9FFCF45A">
      <w:start w:val="1"/>
      <w:numFmt w:val="bullet"/>
      <w:lvlText w:val=""/>
      <w:lvlJc w:val="left"/>
      <w:pPr>
        <w:ind w:left="2880" w:hanging="360"/>
      </w:pPr>
      <w:rPr>
        <w:rFonts w:ascii="Symbol" w:hAnsi="Symbol" w:hint="default"/>
      </w:rPr>
    </w:lvl>
    <w:lvl w:ilvl="4" w:tplc="A7306F30">
      <w:start w:val="1"/>
      <w:numFmt w:val="bullet"/>
      <w:lvlText w:val="o"/>
      <w:lvlJc w:val="left"/>
      <w:pPr>
        <w:ind w:left="3600" w:hanging="360"/>
      </w:pPr>
      <w:rPr>
        <w:rFonts w:ascii="Courier New" w:hAnsi="Courier New" w:hint="default"/>
      </w:rPr>
    </w:lvl>
    <w:lvl w:ilvl="5" w:tplc="26D8B6CC">
      <w:start w:val="1"/>
      <w:numFmt w:val="bullet"/>
      <w:lvlText w:val=""/>
      <w:lvlJc w:val="left"/>
      <w:pPr>
        <w:ind w:left="4320" w:hanging="360"/>
      </w:pPr>
      <w:rPr>
        <w:rFonts w:ascii="Wingdings" w:hAnsi="Wingdings" w:hint="default"/>
      </w:rPr>
    </w:lvl>
    <w:lvl w:ilvl="6" w:tplc="4F500FD2">
      <w:start w:val="1"/>
      <w:numFmt w:val="bullet"/>
      <w:lvlText w:val=""/>
      <w:lvlJc w:val="left"/>
      <w:pPr>
        <w:ind w:left="5040" w:hanging="360"/>
      </w:pPr>
      <w:rPr>
        <w:rFonts w:ascii="Symbol" w:hAnsi="Symbol" w:hint="default"/>
      </w:rPr>
    </w:lvl>
    <w:lvl w:ilvl="7" w:tplc="59D4B69E">
      <w:start w:val="1"/>
      <w:numFmt w:val="bullet"/>
      <w:lvlText w:val="o"/>
      <w:lvlJc w:val="left"/>
      <w:pPr>
        <w:ind w:left="5760" w:hanging="360"/>
      </w:pPr>
      <w:rPr>
        <w:rFonts w:ascii="Courier New" w:hAnsi="Courier New" w:hint="default"/>
      </w:rPr>
    </w:lvl>
    <w:lvl w:ilvl="8" w:tplc="687012A2">
      <w:start w:val="1"/>
      <w:numFmt w:val="bullet"/>
      <w:lvlText w:val=""/>
      <w:lvlJc w:val="left"/>
      <w:pPr>
        <w:ind w:left="6480" w:hanging="360"/>
      </w:pPr>
      <w:rPr>
        <w:rFonts w:ascii="Wingdings" w:hAnsi="Wingdings" w:hint="default"/>
      </w:rPr>
    </w:lvl>
  </w:abstractNum>
  <w:abstractNum w:abstractNumId="4" w15:restartNumberingAfterBreak="0">
    <w:nsid w:val="1A992278"/>
    <w:multiLevelType w:val="hybridMultilevel"/>
    <w:tmpl w:val="85E073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927E47"/>
    <w:multiLevelType w:val="hybridMultilevel"/>
    <w:tmpl w:val="55AAD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4EF8D"/>
    <w:multiLevelType w:val="hybridMultilevel"/>
    <w:tmpl w:val="FFFFFFFF"/>
    <w:lvl w:ilvl="0" w:tplc="5240B756">
      <w:start w:val="1"/>
      <w:numFmt w:val="bullet"/>
      <w:lvlText w:val=""/>
      <w:lvlJc w:val="left"/>
      <w:pPr>
        <w:ind w:left="720" w:hanging="360"/>
      </w:pPr>
      <w:rPr>
        <w:rFonts w:ascii="Symbol" w:hAnsi="Symbol" w:hint="default"/>
      </w:rPr>
    </w:lvl>
    <w:lvl w:ilvl="1" w:tplc="CD920AF0">
      <w:start w:val="1"/>
      <w:numFmt w:val="bullet"/>
      <w:lvlText w:val="o"/>
      <w:lvlJc w:val="left"/>
      <w:pPr>
        <w:ind w:left="1440" w:hanging="360"/>
      </w:pPr>
      <w:rPr>
        <w:rFonts w:ascii="Courier New" w:hAnsi="Courier New" w:hint="default"/>
      </w:rPr>
    </w:lvl>
    <w:lvl w:ilvl="2" w:tplc="D3DE99D6">
      <w:start w:val="1"/>
      <w:numFmt w:val="bullet"/>
      <w:lvlText w:val=""/>
      <w:lvlJc w:val="left"/>
      <w:pPr>
        <w:ind w:left="2160" w:hanging="360"/>
      </w:pPr>
      <w:rPr>
        <w:rFonts w:ascii="Wingdings" w:hAnsi="Wingdings" w:hint="default"/>
      </w:rPr>
    </w:lvl>
    <w:lvl w:ilvl="3" w:tplc="44A61768">
      <w:start w:val="1"/>
      <w:numFmt w:val="bullet"/>
      <w:lvlText w:val=""/>
      <w:lvlJc w:val="left"/>
      <w:pPr>
        <w:ind w:left="2880" w:hanging="360"/>
      </w:pPr>
      <w:rPr>
        <w:rFonts w:ascii="Symbol" w:hAnsi="Symbol" w:hint="default"/>
      </w:rPr>
    </w:lvl>
    <w:lvl w:ilvl="4" w:tplc="36AE1528">
      <w:start w:val="1"/>
      <w:numFmt w:val="bullet"/>
      <w:lvlText w:val="o"/>
      <w:lvlJc w:val="left"/>
      <w:pPr>
        <w:ind w:left="3600" w:hanging="360"/>
      </w:pPr>
      <w:rPr>
        <w:rFonts w:ascii="Courier New" w:hAnsi="Courier New" w:hint="default"/>
      </w:rPr>
    </w:lvl>
    <w:lvl w:ilvl="5" w:tplc="21E471A2">
      <w:start w:val="1"/>
      <w:numFmt w:val="bullet"/>
      <w:lvlText w:val=""/>
      <w:lvlJc w:val="left"/>
      <w:pPr>
        <w:ind w:left="4320" w:hanging="360"/>
      </w:pPr>
      <w:rPr>
        <w:rFonts w:ascii="Wingdings" w:hAnsi="Wingdings" w:hint="default"/>
      </w:rPr>
    </w:lvl>
    <w:lvl w:ilvl="6" w:tplc="CB7CF7BA">
      <w:start w:val="1"/>
      <w:numFmt w:val="bullet"/>
      <w:lvlText w:val=""/>
      <w:lvlJc w:val="left"/>
      <w:pPr>
        <w:ind w:left="5040" w:hanging="360"/>
      </w:pPr>
      <w:rPr>
        <w:rFonts w:ascii="Symbol" w:hAnsi="Symbol" w:hint="default"/>
      </w:rPr>
    </w:lvl>
    <w:lvl w:ilvl="7" w:tplc="3A16B52A">
      <w:start w:val="1"/>
      <w:numFmt w:val="bullet"/>
      <w:lvlText w:val="o"/>
      <w:lvlJc w:val="left"/>
      <w:pPr>
        <w:ind w:left="5760" w:hanging="360"/>
      </w:pPr>
      <w:rPr>
        <w:rFonts w:ascii="Courier New" w:hAnsi="Courier New" w:hint="default"/>
      </w:rPr>
    </w:lvl>
    <w:lvl w:ilvl="8" w:tplc="C024B306">
      <w:start w:val="1"/>
      <w:numFmt w:val="bullet"/>
      <w:lvlText w:val=""/>
      <w:lvlJc w:val="left"/>
      <w:pPr>
        <w:ind w:left="6480" w:hanging="360"/>
      </w:pPr>
      <w:rPr>
        <w:rFonts w:ascii="Wingdings" w:hAnsi="Wingdings" w:hint="default"/>
      </w:rPr>
    </w:lvl>
  </w:abstractNum>
  <w:abstractNum w:abstractNumId="7" w15:restartNumberingAfterBreak="0">
    <w:nsid w:val="2C3EA877"/>
    <w:multiLevelType w:val="hybridMultilevel"/>
    <w:tmpl w:val="FFFFFFFF"/>
    <w:lvl w:ilvl="0" w:tplc="BBF647A0">
      <w:start w:val="1"/>
      <w:numFmt w:val="decimal"/>
      <w:lvlText w:val="%1."/>
      <w:lvlJc w:val="left"/>
      <w:pPr>
        <w:ind w:left="720" w:hanging="360"/>
      </w:pPr>
    </w:lvl>
    <w:lvl w:ilvl="1" w:tplc="210C391C">
      <w:start w:val="1"/>
      <w:numFmt w:val="lowerLetter"/>
      <w:lvlText w:val="%2."/>
      <w:lvlJc w:val="left"/>
      <w:pPr>
        <w:ind w:left="1440" w:hanging="360"/>
      </w:pPr>
    </w:lvl>
    <w:lvl w:ilvl="2" w:tplc="62224414">
      <w:start w:val="1"/>
      <w:numFmt w:val="lowerRoman"/>
      <w:lvlText w:val="%3."/>
      <w:lvlJc w:val="right"/>
      <w:pPr>
        <w:ind w:left="2160" w:hanging="180"/>
      </w:pPr>
    </w:lvl>
    <w:lvl w:ilvl="3" w:tplc="10084DB8">
      <w:start w:val="1"/>
      <w:numFmt w:val="decimal"/>
      <w:lvlText w:val="%4."/>
      <w:lvlJc w:val="left"/>
      <w:pPr>
        <w:ind w:left="2880" w:hanging="360"/>
      </w:pPr>
    </w:lvl>
    <w:lvl w:ilvl="4" w:tplc="00F046C6">
      <w:start w:val="1"/>
      <w:numFmt w:val="lowerLetter"/>
      <w:lvlText w:val="%5."/>
      <w:lvlJc w:val="left"/>
      <w:pPr>
        <w:ind w:left="3600" w:hanging="360"/>
      </w:pPr>
    </w:lvl>
    <w:lvl w:ilvl="5" w:tplc="86D4DD8A">
      <w:start w:val="1"/>
      <w:numFmt w:val="lowerRoman"/>
      <w:lvlText w:val="%6."/>
      <w:lvlJc w:val="right"/>
      <w:pPr>
        <w:ind w:left="4320" w:hanging="180"/>
      </w:pPr>
    </w:lvl>
    <w:lvl w:ilvl="6" w:tplc="9E2EDD56">
      <w:start w:val="1"/>
      <w:numFmt w:val="decimal"/>
      <w:lvlText w:val="%7."/>
      <w:lvlJc w:val="left"/>
      <w:pPr>
        <w:ind w:left="5040" w:hanging="360"/>
      </w:pPr>
    </w:lvl>
    <w:lvl w:ilvl="7" w:tplc="BDCCC50E">
      <w:start w:val="1"/>
      <w:numFmt w:val="lowerLetter"/>
      <w:lvlText w:val="%8."/>
      <w:lvlJc w:val="left"/>
      <w:pPr>
        <w:ind w:left="5760" w:hanging="360"/>
      </w:pPr>
    </w:lvl>
    <w:lvl w:ilvl="8" w:tplc="47D657D8">
      <w:start w:val="1"/>
      <w:numFmt w:val="lowerRoman"/>
      <w:lvlText w:val="%9."/>
      <w:lvlJc w:val="right"/>
      <w:pPr>
        <w:ind w:left="6480" w:hanging="180"/>
      </w:pPr>
    </w:lvl>
  </w:abstractNum>
  <w:abstractNum w:abstractNumId="8" w15:restartNumberingAfterBreak="0">
    <w:nsid w:val="311D526E"/>
    <w:multiLevelType w:val="hybridMultilevel"/>
    <w:tmpl w:val="25382AE2"/>
    <w:lvl w:ilvl="0" w:tplc="783277D6">
      <w:start w:val="1"/>
      <w:numFmt w:val="bullet"/>
      <w:lvlText w:val=""/>
      <w:lvlJc w:val="left"/>
      <w:pPr>
        <w:ind w:left="1080" w:hanging="360"/>
      </w:pPr>
      <w:rPr>
        <w:rFonts w:ascii="Symbol" w:hAnsi="Symbol"/>
      </w:rPr>
    </w:lvl>
    <w:lvl w:ilvl="1" w:tplc="D576CC7A">
      <w:start w:val="1"/>
      <w:numFmt w:val="bullet"/>
      <w:lvlText w:val=""/>
      <w:lvlJc w:val="left"/>
      <w:pPr>
        <w:ind w:left="1080" w:hanging="360"/>
      </w:pPr>
      <w:rPr>
        <w:rFonts w:ascii="Symbol" w:hAnsi="Symbol"/>
      </w:rPr>
    </w:lvl>
    <w:lvl w:ilvl="2" w:tplc="F570846E">
      <w:start w:val="1"/>
      <w:numFmt w:val="bullet"/>
      <w:lvlText w:val=""/>
      <w:lvlJc w:val="left"/>
      <w:pPr>
        <w:ind w:left="1080" w:hanging="360"/>
      </w:pPr>
      <w:rPr>
        <w:rFonts w:ascii="Symbol" w:hAnsi="Symbol"/>
      </w:rPr>
    </w:lvl>
    <w:lvl w:ilvl="3" w:tplc="CEFE7230">
      <w:start w:val="1"/>
      <w:numFmt w:val="bullet"/>
      <w:lvlText w:val=""/>
      <w:lvlJc w:val="left"/>
      <w:pPr>
        <w:ind w:left="1080" w:hanging="360"/>
      </w:pPr>
      <w:rPr>
        <w:rFonts w:ascii="Symbol" w:hAnsi="Symbol"/>
      </w:rPr>
    </w:lvl>
    <w:lvl w:ilvl="4" w:tplc="06B46D8C">
      <w:start w:val="1"/>
      <w:numFmt w:val="bullet"/>
      <w:lvlText w:val=""/>
      <w:lvlJc w:val="left"/>
      <w:pPr>
        <w:ind w:left="1080" w:hanging="360"/>
      </w:pPr>
      <w:rPr>
        <w:rFonts w:ascii="Symbol" w:hAnsi="Symbol"/>
      </w:rPr>
    </w:lvl>
    <w:lvl w:ilvl="5" w:tplc="1E9EFC5C">
      <w:start w:val="1"/>
      <w:numFmt w:val="bullet"/>
      <w:lvlText w:val=""/>
      <w:lvlJc w:val="left"/>
      <w:pPr>
        <w:ind w:left="1080" w:hanging="360"/>
      </w:pPr>
      <w:rPr>
        <w:rFonts w:ascii="Symbol" w:hAnsi="Symbol"/>
      </w:rPr>
    </w:lvl>
    <w:lvl w:ilvl="6" w:tplc="05001C40">
      <w:start w:val="1"/>
      <w:numFmt w:val="bullet"/>
      <w:lvlText w:val=""/>
      <w:lvlJc w:val="left"/>
      <w:pPr>
        <w:ind w:left="1080" w:hanging="360"/>
      </w:pPr>
      <w:rPr>
        <w:rFonts w:ascii="Symbol" w:hAnsi="Symbol"/>
      </w:rPr>
    </w:lvl>
    <w:lvl w:ilvl="7" w:tplc="16FAF20A">
      <w:start w:val="1"/>
      <w:numFmt w:val="bullet"/>
      <w:lvlText w:val=""/>
      <w:lvlJc w:val="left"/>
      <w:pPr>
        <w:ind w:left="1080" w:hanging="360"/>
      </w:pPr>
      <w:rPr>
        <w:rFonts w:ascii="Symbol" w:hAnsi="Symbol"/>
      </w:rPr>
    </w:lvl>
    <w:lvl w:ilvl="8" w:tplc="ECB80CC8">
      <w:start w:val="1"/>
      <w:numFmt w:val="bullet"/>
      <w:lvlText w:val=""/>
      <w:lvlJc w:val="left"/>
      <w:pPr>
        <w:ind w:left="1080" w:hanging="360"/>
      </w:pPr>
      <w:rPr>
        <w:rFonts w:ascii="Symbol" w:hAnsi="Symbol"/>
      </w:rPr>
    </w:lvl>
  </w:abstractNum>
  <w:abstractNum w:abstractNumId="9" w15:restartNumberingAfterBreak="0">
    <w:nsid w:val="374CF1C3"/>
    <w:multiLevelType w:val="hybridMultilevel"/>
    <w:tmpl w:val="FFFFFFFF"/>
    <w:lvl w:ilvl="0" w:tplc="BC800254">
      <w:start w:val="1"/>
      <w:numFmt w:val="decimal"/>
      <w:lvlText w:val="%1."/>
      <w:lvlJc w:val="left"/>
      <w:pPr>
        <w:ind w:left="720" w:hanging="360"/>
      </w:pPr>
    </w:lvl>
    <w:lvl w:ilvl="1" w:tplc="B98CDF2C">
      <w:start w:val="1"/>
      <w:numFmt w:val="lowerLetter"/>
      <w:lvlText w:val="%2."/>
      <w:lvlJc w:val="left"/>
      <w:pPr>
        <w:ind w:left="1440" w:hanging="360"/>
      </w:pPr>
    </w:lvl>
    <w:lvl w:ilvl="2" w:tplc="43FA3DE6">
      <w:start w:val="1"/>
      <w:numFmt w:val="lowerRoman"/>
      <w:lvlText w:val="%3."/>
      <w:lvlJc w:val="right"/>
      <w:pPr>
        <w:ind w:left="2160" w:hanging="180"/>
      </w:pPr>
    </w:lvl>
    <w:lvl w:ilvl="3" w:tplc="15B2D6E0">
      <w:start w:val="1"/>
      <w:numFmt w:val="decimal"/>
      <w:lvlText w:val="%4."/>
      <w:lvlJc w:val="left"/>
      <w:pPr>
        <w:ind w:left="2880" w:hanging="360"/>
      </w:pPr>
    </w:lvl>
    <w:lvl w:ilvl="4" w:tplc="107CC8FE">
      <w:start w:val="1"/>
      <w:numFmt w:val="lowerLetter"/>
      <w:lvlText w:val="%5."/>
      <w:lvlJc w:val="left"/>
      <w:pPr>
        <w:ind w:left="3600" w:hanging="360"/>
      </w:pPr>
    </w:lvl>
    <w:lvl w:ilvl="5" w:tplc="2D6C0F32">
      <w:start w:val="1"/>
      <w:numFmt w:val="lowerRoman"/>
      <w:lvlText w:val="%6."/>
      <w:lvlJc w:val="right"/>
      <w:pPr>
        <w:ind w:left="4320" w:hanging="180"/>
      </w:pPr>
    </w:lvl>
    <w:lvl w:ilvl="6" w:tplc="581A7094">
      <w:start w:val="1"/>
      <w:numFmt w:val="decimal"/>
      <w:lvlText w:val="%7."/>
      <w:lvlJc w:val="left"/>
      <w:pPr>
        <w:ind w:left="5040" w:hanging="360"/>
      </w:pPr>
    </w:lvl>
    <w:lvl w:ilvl="7" w:tplc="4970BDBE">
      <w:start w:val="1"/>
      <w:numFmt w:val="lowerLetter"/>
      <w:lvlText w:val="%8."/>
      <w:lvlJc w:val="left"/>
      <w:pPr>
        <w:ind w:left="5760" w:hanging="360"/>
      </w:pPr>
    </w:lvl>
    <w:lvl w:ilvl="8" w:tplc="BAA4B8C2">
      <w:start w:val="1"/>
      <w:numFmt w:val="lowerRoman"/>
      <w:lvlText w:val="%9."/>
      <w:lvlJc w:val="right"/>
      <w:pPr>
        <w:ind w:left="6480" w:hanging="180"/>
      </w:pPr>
    </w:lvl>
  </w:abstractNum>
  <w:abstractNum w:abstractNumId="10" w15:restartNumberingAfterBreak="0">
    <w:nsid w:val="3F502985"/>
    <w:multiLevelType w:val="hybridMultilevel"/>
    <w:tmpl w:val="942609B6"/>
    <w:lvl w:ilvl="0" w:tplc="FA62446E">
      <w:start w:val="1"/>
      <w:numFmt w:val="bullet"/>
      <w:lvlText w:val=""/>
      <w:lvlJc w:val="left"/>
      <w:pPr>
        <w:ind w:left="1311" w:hanging="346"/>
      </w:pPr>
      <w:rPr>
        <w:rFonts w:ascii="Symbol" w:hAnsi="Symbol" w:hint="default"/>
      </w:rPr>
    </w:lvl>
    <w:lvl w:ilvl="1" w:tplc="04090003">
      <w:start w:val="1"/>
      <w:numFmt w:val="bullet"/>
      <w:lvlText w:val="o"/>
      <w:lvlJc w:val="left"/>
      <w:pPr>
        <w:ind w:left="1289" w:hanging="360"/>
      </w:pPr>
      <w:rPr>
        <w:rFonts w:ascii="Courier New" w:hAnsi="Courier New" w:cs="Courier New" w:hint="default"/>
      </w:rPr>
    </w:lvl>
    <w:lvl w:ilvl="2" w:tplc="04090005" w:tentative="1">
      <w:start w:val="1"/>
      <w:numFmt w:val="bullet"/>
      <w:lvlText w:val=""/>
      <w:lvlJc w:val="left"/>
      <w:pPr>
        <w:ind w:left="2009" w:hanging="360"/>
      </w:pPr>
      <w:rPr>
        <w:rFonts w:ascii="Wingdings" w:hAnsi="Wingdings" w:hint="default"/>
      </w:rPr>
    </w:lvl>
    <w:lvl w:ilvl="3" w:tplc="04090001" w:tentative="1">
      <w:start w:val="1"/>
      <w:numFmt w:val="bullet"/>
      <w:lvlText w:val=""/>
      <w:lvlJc w:val="left"/>
      <w:pPr>
        <w:ind w:left="2729" w:hanging="360"/>
      </w:pPr>
      <w:rPr>
        <w:rFonts w:ascii="Symbol" w:hAnsi="Symbol" w:hint="default"/>
      </w:rPr>
    </w:lvl>
    <w:lvl w:ilvl="4" w:tplc="04090003" w:tentative="1">
      <w:start w:val="1"/>
      <w:numFmt w:val="bullet"/>
      <w:lvlText w:val="o"/>
      <w:lvlJc w:val="left"/>
      <w:pPr>
        <w:ind w:left="3449" w:hanging="360"/>
      </w:pPr>
      <w:rPr>
        <w:rFonts w:ascii="Courier New" w:hAnsi="Courier New" w:cs="Courier New" w:hint="default"/>
      </w:rPr>
    </w:lvl>
    <w:lvl w:ilvl="5" w:tplc="04090005" w:tentative="1">
      <w:start w:val="1"/>
      <w:numFmt w:val="bullet"/>
      <w:lvlText w:val=""/>
      <w:lvlJc w:val="left"/>
      <w:pPr>
        <w:ind w:left="4169" w:hanging="360"/>
      </w:pPr>
      <w:rPr>
        <w:rFonts w:ascii="Wingdings" w:hAnsi="Wingdings" w:hint="default"/>
      </w:rPr>
    </w:lvl>
    <w:lvl w:ilvl="6" w:tplc="04090001" w:tentative="1">
      <w:start w:val="1"/>
      <w:numFmt w:val="bullet"/>
      <w:lvlText w:val=""/>
      <w:lvlJc w:val="left"/>
      <w:pPr>
        <w:ind w:left="4889" w:hanging="360"/>
      </w:pPr>
      <w:rPr>
        <w:rFonts w:ascii="Symbol" w:hAnsi="Symbol" w:hint="default"/>
      </w:rPr>
    </w:lvl>
    <w:lvl w:ilvl="7" w:tplc="04090003" w:tentative="1">
      <w:start w:val="1"/>
      <w:numFmt w:val="bullet"/>
      <w:lvlText w:val="o"/>
      <w:lvlJc w:val="left"/>
      <w:pPr>
        <w:ind w:left="5609" w:hanging="360"/>
      </w:pPr>
      <w:rPr>
        <w:rFonts w:ascii="Courier New" w:hAnsi="Courier New" w:cs="Courier New" w:hint="default"/>
      </w:rPr>
    </w:lvl>
    <w:lvl w:ilvl="8" w:tplc="04090005" w:tentative="1">
      <w:start w:val="1"/>
      <w:numFmt w:val="bullet"/>
      <w:lvlText w:val=""/>
      <w:lvlJc w:val="left"/>
      <w:pPr>
        <w:ind w:left="6329" w:hanging="360"/>
      </w:pPr>
      <w:rPr>
        <w:rFonts w:ascii="Wingdings" w:hAnsi="Wingdings" w:hint="default"/>
      </w:rPr>
    </w:lvl>
  </w:abstractNum>
  <w:abstractNum w:abstractNumId="11" w15:restartNumberingAfterBreak="0">
    <w:nsid w:val="40CF13A7"/>
    <w:multiLevelType w:val="hybridMultilevel"/>
    <w:tmpl w:val="4692CF68"/>
    <w:lvl w:ilvl="0" w:tplc="976EDB9A">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D748D2"/>
    <w:multiLevelType w:val="hybridMultilevel"/>
    <w:tmpl w:val="9AE0F122"/>
    <w:lvl w:ilvl="0" w:tplc="0409000F">
      <w:start w:val="1"/>
      <w:numFmt w:val="decimal"/>
      <w:lvlText w:val="%1."/>
      <w:lvlJc w:val="left"/>
      <w:pPr>
        <w:ind w:left="720" w:hanging="360"/>
      </w:pPr>
    </w:lvl>
    <w:lvl w:ilvl="1" w:tplc="889E8ACC">
      <w:start w:val="1"/>
      <w:numFmt w:val="lowerLetter"/>
      <w:lvlText w:val="%2."/>
      <w:lvlJc w:val="left"/>
      <w:pPr>
        <w:ind w:left="1541" w:hanging="346"/>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012AEC"/>
    <w:multiLevelType w:val="hybridMultilevel"/>
    <w:tmpl w:val="FFFFFFFF"/>
    <w:lvl w:ilvl="0" w:tplc="7C9E30CE">
      <w:start w:val="11"/>
      <w:numFmt w:val="decimal"/>
      <w:lvlText w:val="%1."/>
      <w:lvlJc w:val="left"/>
      <w:pPr>
        <w:ind w:left="720" w:hanging="360"/>
      </w:pPr>
    </w:lvl>
    <w:lvl w:ilvl="1" w:tplc="DAFECED2">
      <w:start w:val="1"/>
      <w:numFmt w:val="lowerLetter"/>
      <w:lvlText w:val="%2."/>
      <w:lvlJc w:val="left"/>
      <w:pPr>
        <w:ind w:left="1440" w:hanging="360"/>
      </w:pPr>
    </w:lvl>
    <w:lvl w:ilvl="2" w:tplc="EA66E54E">
      <w:start w:val="1"/>
      <w:numFmt w:val="lowerRoman"/>
      <w:lvlText w:val="%3."/>
      <w:lvlJc w:val="right"/>
      <w:pPr>
        <w:ind w:left="2160" w:hanging="180"/>
      </w:pPr>
    </w:lvl>
    <w:lvl w:ilvl="3" w:tplc="672698D0">
      <w:start w:val="1"/>
      <w:numFmt w:val="decimal"/>
      <w:lvlText w:val="%4."/>
      <w:lvlJc w:val="left"/>
      <w:pPr>
        <w:ind w:left="2880" w:hanging="360"/>
      </w:pPr>
    </w:lvl>
    <w:lvl w:ilvl="4" w:tplc="F6827472">
      <w:start w:val="1"/>
      <w:numFmt w:val="lowerLetter"/>
      <w:lvlText w:val="%5."/>
      <w:lvlJc w:val="left"/>
      <w:pPr>
        <w:ind w:left="3600" w:hanging="360"/>
      </w:pPr>
    </w:lvl>
    <w:lvl w:ilvl="5" w:tplc="CE3C8A64">
      <w:start w:val="1"/>
      <w:numFmt w:val="lowerRoman"/>
      <w:lvlText w:val="%6."/>
      <w:lvlJc w:val="right"/>
      <w:pPr>
        <w:ind w:left="4320" w:hanging="180"/>
      </w:pPr>
    </w:lvl>
    <w:lvl w:ilvl="6" w:tplc="A18878E2">
      <w:start w:val="1"/>
      <w:numFmt w:val="decimal"/>
      <w:lvlText w:val="%7."/>
      <w:lvlJc w:val="left"/>
      <w:pPr>
        <w:ind w:left="5040" w:hanging="360"/>
      </w:pPr>
    </w:lvl>
    <w:lvl w:ilvl="7" w:tplc="D318FDFE">
      <w:start w:val="1"/>
      <w:numFmt w:val="lowerLetter"/>
      <w:lvlText w:val="%8."/>
      <w:lvlJc w:val="left"/>
      <w:pPr>
        <w:ind w:left="5760" w:hanging="360"/>
      </w:pPr>
    </w:lvl>
    <w:lvl w:ilvl="8" w:tplc="92B6B874">
      <w:start w:val="1"/>
      <w:numFmt w:val="lowerRoman"/>
      <w:lvlText w:val="%9."/>
      <w:lvlJc w:val="right"/>
      <w:pPr>
        <w:ind w:left="6480" w:hanging="180"/>
      </w:pPr>
    </w:lvl>
  </w:abstractNum>
  <w:abstractNum w:abstractNumId="14" w15:restartNumberingAfterBreak="0">
    <w:nsid w:val="4E060D36"/>
    <w:multiLevelType w:val="hybridMultilevel"/>
    <w:tmpl w:val="F0521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4C0BF0"/>
    <w:multiLevelType w:val="hybridMultilevel"/>
    <w:tmpl w:val="5F56CB8A"/>
    <w:lvl w:ilvl="0" w:tplc="28E8D89C">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D746F4F"/>
    <w:multiLevelType w:val="hybridMultilevel"/>
    <w:tmpl w:val="47EE0D70"/>
    <w:lvl w:ilvl="0" w:tplc="7CE4D336">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09459AE"/>
    <w:multiLevelType w:val="hybridMultilevel"/>
    <w:tmpl w:val="9A786E9A"/>
    <w:lvl w:ilvl="0" w:tplc="ECE6D4A6">
      <w:start w:val="1"/>
      <w:numFmt w:val="bullet"/>
      <w:lvlText w:val="-"/>
      <w:lvlJc w:val="left"/>
      <w:pPr>
        <w:ind w:left="1080" w:hanging="360"/>
      </w:pPr>
      <w:rPr>
        <w:rFonts w:ascii="Times New Roman" w:eastAsiaTheme="minorHAnsi" w:hAnsi="Times New Roman"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6F5C65F5"/>
    <w:multiLevelType w:val="hybridMultilevel"/>
    <w:tmpl w:val="F8D21B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6D8976"/>
    <w:multiLevelType w:val="hybridMultilevel"/>
    <w:tmpl w:val="9808E968"/>
    <w:lvl w:ilvl="0" w:tplc="FCB8AE96">
      <w:start w:val="1"/>
      <w:numFmt w:val="decimal"/>
      <w:lvlText w:val="%1."/>
      <w:lvlJc w:val="left"/>
      <w:pPr>
        <w:ind w:left="720" w:hanging="360"/>
      </w:pPr>
    </w:lvl>
    <w:lvl w:ilvl="1" w:tplc="3D6A6EDA">
      <w:start w:val="1"/>
      <w:numFmt w:val="lowerLetter"/>
      <w:lvlText w:val="%2."/>
      <w:lvlJc w:val="left"/>
      <w:pPr>
        <w:ind w:left="1440" w:hanging="360"/>
      </w:pPr>
    </w:lvl>
    <w:lvl w:ilvl="2" w:tplc="2C620E92">
      <w:start w:val="1"/>
      <w:numFmt w:val="lowerRoman"/>
      <w:lvlText w:val="%3."/>
      <w:lvlJc w:val="right"/>
      <w:pPr>
        <w:ind w:left="2160" w:hanging="180"/>
      </w:pPr>
    </w:lvl>
    <w:lvl w:ilvl="3" w:tplc="7CCE8504">
      <w:start w:val="1"/>
      <w:numFmt w:val="decimal"/>
      <w:lvlText w:val="%4."/>
      <w:lvlJc w:val="left"/>
      <w:pPr>
        <w:ind w:left="2880" w:hanging="360"/>
      </w:pPr>
    </w:lvl>
    <w:lvl w:ilvl="4" w:tplc="8AFA0FA8">
      <w:start w:val="1"/>
      <w:numFmt w:val="lowerLetter"/>
      <w:lvlText w:val="%5."/>
      <w:lvlJc w:val="left"/>
      <w:pPr>
        <w:ind w:left="3600" w:hanging="360"/>
      </w:pPr>
    </w:lvl>
    <w:lvl w:ilvl="5" w:tplc="F4B0BCB4">
      <w:start w:val="1"/>
      <w:numFmt w:val="lowerRoman"/>
      <w:lvlText w:val="%6."/>
      <w:lvlJc w:val="right"/>
      <w:pPr>
        <w:ind w:left="4320" w:hanging="180"/>
      </w:pPr>
    </w:lvl>
    <w:lvl w:ilvl="6" w:tplc="B94E6E00">
      <w:start w:val="1"/>
      <w:numFmt w:val="decimal"/>
      <w:lvlText w:val="%7."/>
      <w:lvlJc w:val="left"/>
      <w:pPr>
        <w:ind w:left="5040" w:hanging="360"/>
      </w:pPr>
    </w:lvl>
    <w:lvl w:ilvl="7" w:tplc="60504C4C">
      <w:start w:val="1"/>
      <w:numFmt w:val="lowerLetter"/>
      <w:lvlText w:val="%8."/>
      <w:lvlJc w:val="left"/>
      <w:pPr>
        <w:ind w:left="5760" w:hanging="360"/>
      </w:pPr>
    </w:lvl>
    <w:lvl w:ilvl="8" w:tplc="95AC4D90">
      <w:start w:val="1"/>
      <w:numFmt w:val="lowerRoman"/>
      <w:lvlText w:val="%9."/>
      <w:lvlJc w:val="right"/>
      <w:pPr>
        <w:ind w:left="6480" w:hanging="180"/>
      </w:pPr>
    </w:lvl>
  </w:abstractNum>
  <w:abstractNum w:abstractNumId="20" w15:restartNumberingAfterBreak="0">
    <w:nsid w:val="7DC060E6"/>
    <w:multiLevelType w:val="hybridMultilevel"/>
    <w:tmpl w:val="FFFFFFFF"/>
    <w:lvl w:ilvl="0" w:tplc="E2D48202">
      <w:start w:val="1"/>
      <w:numFmt w:val="decimal"/>
      <w:lvlText w:val="%1."/>
      <w:lvlJc w:val="left"/>
      <w:pPr>
        <w:ind w:left="720" w:hanging="360"/>
      </w:pPr>
    </w:lvl>
    <w:lvl w:ilvl="1" w:tplc="E97CDE4A">
      <w:start w:val="1"/>
      <w:numFmt w:val="lowerLetter"/>
      <w:lvlText w:val="%2."/>
      <w:lvlJc w:val="left"/>
      <w:pPr>
        <w:ind w:left="1440" w:hanging="360"/>
      </w:pPr>
    </w:lvl>
    <w:lvl w:ilvl="2" w:tplc="6D6AE39A">
      <w:start w:val="1"/>
      <w:numFmt w:val="lowerRoman"/>
      <w:lvlText w:val="%3."/>
      <w:lvlJc w:val="right"/>
      <w:pPr>
        <w:ind w:left="2160" w:hanging="180"/>
      </w:pPr>
    </w:lvl>
    <w:lvl w:ilvl="3" w:tplc="2DAA5786">
      <w:start w:val="1"/>
      <w:numFmt w:val="decimal"/>
      <w:lvlText w:val="%4."/>
      <w:lvlJc w:val="left"/>
      <w:pPr>
        <w:ind w:left="2880" w:hanging="360"/>
      </w:pPr>
    </w:lvl>
    <w:lvl w:ilvl="4" w:tplc="08C26C5A">
      <w:start w:val="1"/>
      <w:numFmt w:val="lowerLetter"/>
      <w:lvlText w:val="%5."/>
      <w:lvlJc w:val="left"/>
      <w:pPr>
        <w:ind w:left="3600" w:hanging="360"/>
      </w:pPr>
    </w:lvl>
    <w:lvl w:ilvl="5" w:tplc="1DC20886">
      <w:start w:val="1"/>
      <w:numFmt w:val="lowerRoman"/>
      <w:lvlText w:val="%6."/>
      <w:lvlJc w:val="right"/>
      <w:pPr>
        <w:ind w:left="4320" w:hanging="180"/>
      </w:pPr>
    </w:lvl>
    <w:lvl w:ilvl="6" w:tplc="6FB027C4">
      <w:start w:val="1"/>
      <w:numFmt w:val="decimal"/>
      <w:lvlText w:val="%7."/>
      <w:lvlJc w:val="left"/>
      <w:pPr>
        <w:ind w:left="5040" w:hanging="360"/>
      </w:pPr>
    </w:lvl>
    <w:lvl w:ilvl="7" w:tplc="E4260BB2">
      <w:start w:val="1"/>
      <w:numFmt w:val="lowerLetter"/>
      <w:lvlText w:val="%8."/>
      <w:lvlJc w:val="left"/>
      <w:pPr>
        <w:ind w:left="5760" w:hanging="360"/>
      </w:pPr>
    </w:lvl>
    <w:lvl w:ilvl="8" w:tplc="212AAC22">
      <w:start w:val="1"/>
      <w:numFmt w:val="lowerRoman"/>
      <w:lvlText w:val="%9."/>
      <w:lvlJc w:val="right"/>
      <w:pPr>
        <w:ind w:left="6480" w:hanging="180"/>
      </w:pPr>
    </w:lvl>
  </w:abstractNum>
  <w:num w:numId="1" w16cid:durableId="1949773720">
    <w:abstractNumId w:val="19"/>
  </w:num>
  <w:num w:numId="2" w16cid:durableId="232815563">
    <w:abstractNumId w:val="7"/>
  </w:num>
  <w:num w:numId="3" w16cid:durableId="1253321297">
    <w:abstractNumId w:val="9"/>
  </w:num>
  <w:num w:numId="4" w16cid:durableId="2146581462">
    <w:abstractNumId w:val="3"/>
  </w:num>
  <w:num w:numId="5" w16cid:durableId="580260513">
    <w:abstractNumId w:val="13"/>
  </w:num>
  <w:num w:numId="6" w16cid:durableId="1437403899">
    <w:abstractNumId w:val="6"/>
  </w:num>
  <w:num w:numId="7" w16cid:durableId="358706287">
    <w:abstractNumId w:val="20"/>
  </w:num>
  <w:num w:numId="8" w16cid:durableId="796139678">
    <w:abstractNumId w:val="10"/>
  </w:num>
  <w:num w:numId="9" w16cid:durableId="1737703763">
    <w:abstractNumId w:val="12"/>
  </w:num>
  <w:num w:numId="10" w16cid:durableId="1780683452">
    <w:abstractNumId w:val="4"/>
  </w:num>
  <w:num w:numId="11" w16cid:durableId="428547095">
    <w:abstractNumId w:val="18"/>
  </w:num>
  <w:num w:numId="12" w16cid:durableId="736244962">
    <w:abstractNumId w:val="5"/>
  </w:num>
  <w:num w:numId="13" w16cid:durableId="716245432">
    <w:abstractNumId w:val="11"/>
  </w:num>
  <w:num w:numId="14" w16cid:durableId="704795579">
    <w:abstractNumId w:val="14"/>
  </w:num>
  <w:num w:numId="15" w16cid:durableId="1568104789">
    <w:abstractNumId w:val="0"/>
  </w:num>
  <w:num w:numId="16" w16cid:durableId="251357159">
    <w:abstractNumId w:val="16"/>
  </w:num>
  <w:num w:numId="17" w16cid:durableId="1655529290">
    <w:abstractNumId w:val="15"/>
  </w:num>
  <w:num w:numId="18" w16cid:durableId="1617633693">
    <w:abstractNumId w:val="2"/>
  </w:num>
  <w:num w:numId="19" w16cid:durableId="70977283">
    <w:abstractNumId w:val="1"/>
  </w:num>
  <w:num w:numId="20" w16cid:durableId="1791706579">
    <w:abstractNumId w:val="17"/>
  </w:num>
  <w:num w:numId="21" w16cid:durableId="13889190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05D"/>
    <w:rsid w:val="00001E24"/>
    <w:rsid w:val="000049D3"/>
    <w:rsid w:val="000104EA"/>
    <w:rsid w:val="000114B5"/>
    <w:rsid w:val="00013847"/>
    <w:rsid w:val="000213E2"/>
    <w:rsid w:val="0002218E"/>
    <w:rsid w:val="000275FA"/>
    <w:rsid w:val="00030DB3"/>
    <w:rsid w:val="000341CD"/>
    <w:rsid w:val="00034980"/>
    <w:rsid w:val="00034ED0"/>
    <w:rsid w:val="000375A7"/>
    <w:rsid w:val="00040FB3"/>
    <w:rsid w:val="00043D4F"/>
    <w:rsid w:val="00044B96"/>
    <w:rsid w:val="00052417"/>
    <w:rsid w:val="0005470B"/>
    <w:rsid w:val="0006620A"/>
    <w:rsid w:val="000662F6"/>
    <w:rsid w:val="000722A9"/>
    <w:rsid w:val="0007334E"/>
    <w:rsid w:val="00074F33"/>
    <w:rsid w:val="0007619F"/>
    <w:rsid w:val="000772AA"/>
    <w:rsid w:val="00080704"/>
    <w:rsid w:val="00081846"/>
    <w:rsid w:val="000829CE"/>
    <w:rsid w:val="00083CB6"/>
    <w:rsid w:val="00084908"/>
    <w:rsid w:val="00085E6F"/>
    <w:rsid w:val="0008717A"/>
    <w:rsid w:val="00094F49"/>
    <w:rsid w:val="0009504B"/>
    <w:rsid w:val="0009507D"/>
    <w:rsid w:val="00096541"/>
    <w:rsid w:val="000968F3"/>
    <w:rsid w:val="00097F93"/>
    <w:rsid w:val="000A1D02"/>
    <w:rsid w:val="000A22B7"/>
    <w:rsid w:val="000A2492"/>
    <w:rsid w:val="000A2D19"/>
    <w:rsid w:val="000A426B"/>
    <w:rsid w:val="000A5143"/>
    <w:rsid w:val="000B0C54"/>
    <w:rsid w:val="000B3BBA"/>
    <w:rsid w:val="000B6A22"/>
    <w:rsid w:val="000C5730"/>
    <w:rsid w:val="000D03C9"/>
    <w:rsid w:val="000D064A"/>
    <w:rsid w:val="000D501C"/>
    <w:rsid w:val="000E23DE"/>
    <w:rsid w:val="000E6F15"/>
    <w:rsid w:val="000F02A3"/>
    <w:rsid w:val="000F15C1"/>
    <w:rsid w:val="00104BDD"/>
    <w:rsid w:val="0011011A"/>
    <w:rsid w:val="00110E88"/>
    <w:rsid w:val="00112E63"/>
    <w:rsid w:val="00115F89"/>
    <w:rsid w:val="00120067"/>
    <w:rsid w:val="001228AD"/>
    <w:rsid w:val="00126693"/>
    <w:rsid w:val="00131D0F"/>
    <w:rsid w:val="00133D10"/>
    <w:rsid w:val="001359EF"/>
    <w:rsid w:val="001520D9"/>
    <w:rsid w:val="0016286C"/>
    <w:rsid w:val="00162A63"/>
    <w:rsid w:val="00165814"/>
    <w:rsid w:val="00167A0D"/>
    <w:rsid w:val="00170209"/>
    <w:rsid w:val="00170385"/>
    <w:rsid w:val="00171A3D"/>
    <w:rsid w:val="00172597"/>
    <w:rsid w:val="00175173"/>
    <w:rsid w:val="00177BE2"/>
    <w:rsid w:val="0018346F"/>
    <w:rsid w:val="00191AA7"/>
    <w:rsid w:val="00195E61"/>
    <w:rsid w:val="00196453"/>
    <w:rsid w:val="001964E5"/>
    <w:rsid w:val="00197405"/>
    <w:rsid w:val="001A4783"/>
    <w:rsid w:val="001A4AD3"/>
    <w:rsid w:val="001A4E9F"/>
    <w:rsid w:val="001A775C"/>
    <w:rsid w:val="001B52C7"/>
    <w:rsid w:val="001B7095"/>
    <w:rsid w:val="001B7C6A"/>
    <w:rsid w:val="001C014C"/>
    <w:rsid w:val="001C018C"/>
    <w:rsid w:val="001C1AAC"/>
    <w:rsid w:val="001D2596"/>
    <w:rsid w:val="001D266B"/>
    <w:rsid w:val="001E413C"/>
    <w:rsid w:val="001F1859"/>
    <w:rsid w:val="001F25F6"/>
    <w:rsid w:val="001F50AD"/>
    <w:rsid w:val="001F614D"/>
    <w:rsid w:val="00202099"/>
    <w:rsid w:val="00211028"/>
    <w:rsid w:val="00212CB8"/>
    <w:rsid w:val="00214AE7"/>
    <w:rsid w:val="00215410"/>
    <w:rsid w:val="00216EA6"/>
    <w:rsid w:val="00217319"/>
    <w:rsid w:val="00220761"/>
    <w:rsid w:val="00220A29"/>
    <w:rsid w:val="00223D83"/>
    <w:rsid w:val="00233587"/>
    <w:rsid w:val="002338D9"/>
    <w:rsid w:val="00233A4D"/>
    <w:rsid w:val="00233F59"/>
    <w:rsid w:val="0023592C"/>
    <w:rsid w:val="002368E9"/>
    <w:rsid w:val="0024357F"/>
    <w:rsid w:val="002463B5"/>
    <w:rsid w:val="00247193"/>
    <w:rsid w:val="002661E9"/>
    <w:rsid w:val="00270598"/>
    <w:rsid w:val="002725D3"/>
    <w:rsid w:val="00274530"/>
    <w:rsid w:val="00274C12"/>
    <w:rsid w:val="00274E50"/>
    <w:rsid w:val="002754C7"/>
    <w:rsid w:val="00277054"/>
    <w:rsid w:val="00277F9C"/>
    <w:rsid w:val="00281760"/>
    <w:rsid w:val="0028781C"/>
    <w:rsid w:val="0029328C"/>
    <w:rsid w:val="002932E1"/>
    <w:rsid w:val="00296A4E"/>
    <w:rsid w:val="002A01C9"/>
    <w:rsid w:val="002A058F"/>
    <w:rsid w:val="002A6E41"/>
    <w:rsid w:val="002B1CB1"/>
    <w:rsid w:val="002B30CE"/>
    <w:rsid w:val="002C10B4"/>
    <w:rsid w:val="002C4CFC"/>
    <w:rsid w:val="002C7476"/>
    <w:rsid w:val="002D078F"/>
    <w:rsid w:val="002D099C"/>
    <w:rsid w:val="002D6D46"/>
    <w:rsid w:val="002D71CD"/>
    <w:rsid w:val="002E0DE0"/>
    <w:rsid w:val="002F1434"/>
    <w:rsid w:val="002F6279"/>
    <w:rsid w:val="002F79BE"/>
    <w:rsid w:val="00301901"/>
    <w:rsid w:val="00302977"/>
    <w:rsid w:val="003067AC"/>
    <w:rsid w:val="003079B7"/>
    <w:rsid w:val="003178E9"/>
    <w:rsid w:val="00320C99"/>
    <w:rsid w:val="003240BA"/>
    <w:rsid w:val="003267D1"/>
    <w:rsid w:val="003324C7"/>
    <w:rsid w:val="00332BBB"/>
    <w:rsid w:val="003356E9"/>
    <w:rsid w:val="003375D7"/>
    <w:rsid w:val="00340350"/>
    <w:rsid w:val="00341C23"/>
    <w:rsid w:val="00342C34"/>
    <w:rsid w:val="00344BD6"/>
    <w:rsid w:val="00346951"/>
    <w:rsid w:val="003524BD"/>
    <w:rsid w:val="003568EF"/>
    <w:rsid w:val="00362357"/>
    <w:rsid w:val="003718C6"/>
    <w:rsid w:val="00371E5A"/>
    <w:rsid w:val="003720C8"/>
    <w:rsid w:val="00372D1B"/>
    <w:rsid w:val="0037723A"/>
    <w:rsid w:val="00382074"/>
    <w:rsid w:val="00385192"/>
    <w:rsid w:val="003852A3"/>
    <w:rsid w:val="003866D5"/>
    <w:rsid w:val="00392877"/>
    <w:rsid w:val="003955AD"/>
    <w:rsid w:val="00396A17"/>
    <w:rsid w:val="003A0191"/>
    <w:rsid w:val="003A0467"/>
    <w:rsid w:val="003A1D69"/>
    <w:rsid w:val="003A22B6"/>
    <w:rsid w:val="003A5671"/>
    <w:rsid w:val="003A6E73"/>
    <w:rsid w:val="003A702A"/>
    <w:rsid w:val="003B1341"/>
    <w:rsid w:val="003B5EBC"/>
    <w:rsid w:val="003B7B4B"/>
    <w:rsid w:val="003B7BD0"/>
    <w:rsid w:val="003C11D6"/>
    <w:rsid w:val="003C356F"/>
    <w:rsid w:val="003C36A0"/>
    <w:rsid w:val="003C6ECD"/>
    <w:rsid w:val="003D1045"/>
    <w:rsid w:val="003D27E7"/>
    <w:rsid w:val="003D5F1C"/>
    <w:rsid w:val="003D7B90"/>
    <w:rsid w:val="003E0532"/>
    <w:rsid w:val="003F0FB9"/>
    <w:rsid w:val="003F4B3C"/>
    <w:rsid w:val="003F7796"/>
    <w:rsid w:val="00400D1C"/>
    <w:rsid w:val="004017B9"/>
    <w:rsid w:val="00403BB2"/>
    <w:rsid w:val="004048C1"/>
    <w:rsid w:val="00411F9B"/>
    <w:rsid w:val="0041546E"/>
    <w:rsid w:val="00420D3B"/>
    <w:rsid w:val="00420DB7"/>
    <w:rsid w:val="004213B7"/>
    <w:rsid w:val="00422470"/>
    <w:rsid w:val="00427518"/>
    <w:rsid w:val="00427BDF"/>
    <w:rsid w:val="00432AEF"/>
    <w:rsid w:val="00434ABB"/>
    <w:rsid w:val="00435665"/>
    <w:rsid w:val="00437D60"/>
    <w:rsid w:val="00440779"/>
    <w:rsid w:val="00443A11"/>
    <w:rsid w:val="00447AF8"/>
    <w:rsid w:val="0045155C"/>
    <w:rsid w:val="00462DF3"/>
    <w:rsid w:val="0046654B"/>
    <w:rsid w:val="004703F0"/>
    <w:rsid w:val="004708B2"/>
    <w:rsid w:val="00473317"/>
    <w:rsid w:val="00474138"/>
    <w:rsid w:val="0047451E"/>
    <w:rsid w:val="004845F9"/>
    <w:rsid w:val="00485C3E"/>
    <w:rsid w:val="00487043"/>
    <w:rsid w:val="004A0FDF"/>
    <w:rsid w:val="004A2B60"/>
    <w:rsid w:val="004A71B1"/>
    <w:rsid w:val="004A786D"/>
    <w:rsid w:val="004B0DA7"/>
    <w:rsid w:val="004B79AB"/>
    <w:rsid w:val="004C4498"/>
    <w:rsid w:val="004C5264"/>
    <w:rsid w:val="004C6B1C"/>
    <w:rsid w:val="004D1FAD"/>
    <w:rsid w:val="004D3E9E"/>
    <w:rsid w:val="004D7274"/>
    <w:rsid w:val="004E27F9"/>
    <w:rsid w:val="004E7514"/>
    <w:rsid w:val="004F0FEF"/>
    <w:rsid w:val="004F1DD1"/>
    <w:rsid w:val="004F31BA"/>
    <w:rsid w:val="004F6B49"/>
    <w:rsid w:val="00502914"/>
    <w:rsid w:val="00503EFF"/>
    <w:rsid w:val="005053BE"/>
    <w:rsid w:val="00505540"/>
    <w:rsid w:val="00512241"/>
    <w:rsid w:val="0051531D"/>
    <w:rsid w:val="005162ED"/>
    <w:rsid w:val="00516FDE"/>
    <w:rsid w:val="00517141"/>
    <w:rsid w:val="00521661"/>
    <w:rsid w:val="00521F1C"/>
    <w:rsid w:val="005250AB"/>
    <w:rsid w:val="00531181"/>
    <w:rsid w:val="00535773"/>
    <w:rsid w:val="00536D1E"/>
    <w:rsid w:val="0054034C"/>
    <w:rsid w:val="005413B5"/>
    <w:rsid w:val="005413D4"/>
    <w:rsid w:val="005434EF"/>
    <w:rsid w:val="0054434E"/>
    <w:rsid w:val="00554790"/>
    <w:rsid w:val="005559AE"/>
    <w:rsid w:val="00556E93"/>
    <w:rsid w:val="00561A80"/>
    <w:rsid w:val="005657D9"/>
    <w:rsid w:val="00570F7C"/>
    <w:rsid w:val="005742B0"/>
    <w:rsid w:val="00574325"/>
    <w:rsid w:val="00574591"/>
    <w:rsid w:val="00577671"/>
    <w:rsid w:val="00582966"/>
    <w:rsid w:val="00587A95"/>
    <w:rsid w:val="00593AB4"/>
    <w:rsid w:val="005941BB"/>
    <w:rsid w:val="005945C9"/>
    <w:rsid w:val="00594DE2"/>
    <w:rsid w:val="005A05D6"/>
    <w:rsid w:val="005A2374"/>
    <w:rsid w:val="005A513C"/>
    <w:rsid w:val="005A7524"/>
    <w:rsid w:val="005A77B8"/>
    <w:rsid w:val="005B020A"/>
    <w:rsid w:val="005B1753"/>
    <w:rsid w:val="005B28CF"/>
    <w:rsid w:val="005B4C2F"/>
    <w:rsid w:val="005B561E"/>
    <w:rsid w:val="005B6BF1"/>
    <w:rsid w:val="005B712C"/>
    <w:rsid w:val="005C332F"/>
    <w:rsid w:val="005C3AF9"/>
    <w:rsid w:val="005C3D12"/>
    <w:rsid w:val="005C4767"/>
    <w:rsid w:val="005C511D"/>
    <w:rsid w:val="005C79DC"/>
    <w:rsid w:val="005D0FFD"/>
    <w:rsid w:val="005D1E91"/>
    <w:rsid w:val="005D2DAE"/>
    <w:rsid w:val="005D4284"/>
    <w:rsid w:val="005E1E6D"/>
    <w:rsid w:val="005E36D6"/>
    <w:rsid w:val="005E3AE7"/>
    <w:rsid w:val="005E6219"/>
    <w:rsid w:val="005F20D2"/>
    <w:rsid w:val="005F2117"/>
    <w:rsid w:val="005F6533"/>
    <w:rsid w:val="00600353"/>
    <w:rsid w:val="00605063"/>
    <w:rsid w:val="006059F6"/>
    <w:rsid w:val="0062004A"/>
    <w:rsid w:val="00621596"/>
    <w:rsid w:val="0062413E"/>
    <w:rsid w:val="0063376D"/>
    <w:rsid w:val="00642193"/>
    <w:rsid w:val="00645039"/>
    <w:rsid w:val="00645312"/>
    <w:rsid w:val="0065016F"/>
    <w:rsid w:val="00652CDD"/>
    <w:rsid w:val="006547EA"/>
    <w:rsid w:val="00655539"/>
    <w:rsid w:val="0065772F"/>
    <w:rsid w:val="00661049"/>
    <w:rsid w:val="006622DC"/>
    <w:rsid w:val="006625CB"/>
    <w:rsid w:val="00662642"/>
    <w:rsid w:val="00663083"/>
    <w:rsid w:val="006653FD"/>
    <w:rsid w:val="0067178A"/>
    <w:rsid w:val="006723F6"/>
    <w:rsid w:val="00672B04"/>
    <w:rsid w:val="00672CE4"/>
    <w:rsid w:val="00675D3D"/>
    <w:rsid w:val="00677F6D"/>
    <w:rsid w:val="0068010D"/>
    <w:rsid w:val="00681DB6"/>
    <w:rsid w:val="006830A4"/>
    <w:rsid w:val="006835BA"/>
    <w:rsid w:val="00687EF3"/>
    <w:rsid w:val="00690E2D"/>
    <w:rsid w:val="00694403"/>
    <w:rsid w:val="00697548"/>
    <w:rsid w:val="00697E01"/>
    <w:rsid w:val="006A1B48"/>
    <w:rsid w:val="006A1BF0"/>
    <w:rsid w:val="006A445C"/>
    <w:rsid w:val="006A6473"/>
    <w:rsid w:val="006B16EE"/>
    <w:rsid w:val="006B644F"/>
    <w:rsid w:val="006B7862"/>
    <w:rsid w:val="006C1049"/>
    <w:rsid w:val="006C4911"/>
    <w:rsid w:val="006C7F11"/>
    <w:rsid w:val="006D2137"/>
    <w:rsid w:val="006D33D0"/>
    <w:rsid w:val="006E1E62"/>
    <w:rsid w:val="006E5D8C"/>
    <w:rsid w:val="006E5F5B"/>
    <w:rsid w:val="006F4189"/>
    <w:rsid w:val="006F5746"/>
    <w:rsid w:val="006F71C3"/>
    <w:rsid w:val="006F7DAC"/>
    <w:rsid w:val="00706B5B"/>
    <w:rsid w:val="00710E92"/>
    <w:rsid w:val="00715165"/>
    <w:rsid w:val="00722BB8"/>
    <w:rsid w:val="00730492"/>
    <w:rsid w:val="00731D29"/>
    <w:rsid w:val="0073257F"/>
    <w:rsid w:val="00733EF3"/>
    <w:rsid w:val="0074733D"/>
    <w:rsid w:val="00752DFE"/>
    <w:rsid w:val="0075337E"/>
    <w:rsid w:val="00755029"/>
    <w:rsid w:val="0075536A"/>
    <w:rsid w:val="007645FC"/>
    <w:rsid w:val="00766590"/>
    <w:rsid w:val="00766B3A"/>
    <w:rsid w:val="00771631"/>
    <w:rsid w:val="00771F61"/>
    <w:rsid w:val="00774788"/>
    <w:rsid w:val="00776E21"/>
    <w:rsid w:val="00777D27"/>
    <w:rsid w:val="00781B99"/>
    <w:rsid w:val="00783A70"/>
    <w:rsid w:val="007865AF"/>
    <w:rsid w:val="00786B67"/>
    <w:rsid w:val="00787CB0"/>
    <w:rsid w:val="00787CD8"/>
    <w:rsid w:val="007929CB"/>
    <w:rsid w:val="00795997"/>
    <w:rsid w:val="00796FBF"/>
    <w:rsid w:val="007A1C3B"/>
    <w:rsid w:val="007A3014"/>
    <w:rsid w:val="007A37BB"/>
    <w:rsid w:val="007B2E9B"/>
    <w:rsid w:val="007C35E8"/>
    <w:rsid w:val="007C3E19"/>
    <w:rsid w:val="007C4239"/>
    <w:rsid w:val="007C437F"/>
    <w:rsid w:val="007C4D7D"/>
    <w:rsid w:val="007D44A1"/>
    <w:rsid w:val="007D7876"/>
    <w:rsid w:val="007D7885"/>
    <w:rsid w:val="007E0756"/>
    <w:rsid w:val="007E2C2D"/>
    <w:rsid w:val="007E2CF7"/>
    <w:rsid w:val="007E341B"/>
    <w:rsid w:val="007F3E83"/>
    <w:rsid w:val="007F66AF"/>
    <w:rsid w:val="00801F3E"/>
    <w:rsid w:val="00803AA6"/>
    <w:rsid w:val="0080553F"/>
    <w:rsid w:val="008066F4"/>
    <w:rsid w:val="008136EC"/>
    <w:rsid w:val="0081488F"/>
    <w:rsid w:val="00814E63"/>
    <w:rsid w:val="008161CC"/>
    <w:rsid w:val="00816750"/>
    <w:rsid w:val="00821DB7"/>
    <w:rsid w:val="00823953"/>
    <w:rsid w:val="00823FEC"/>
    <w:rsid w:val="008267E7"/>
    <w:rsid w:val="008316DE"/>
    <w:rsid w:val="008330E1"/>
    <w:rsid w:val="00837A7D"/>
    <w:rsid w:val="00847C11"/>
    <w:rsid w:val="00851F5A"/>
    <w:rsid w:val="0085390F"/>
    <w:rsid w:val="00854F0B"/>
    <w:rsid w:val="00855666"/>
    <w:rsid w:val="00856571"/>
    <w:rsid w:val="008566D6"/>
    <w:rsid w:val="008608B9"/>
    <w:rsid w:val="0086183E"/>
    <w:rsid w:val="008671A7"/>
    <w:rsid w:val="00874509"/>
    <w:rsid w:val="00877719"/>
    <w:rsid w:val="00881881"/>
    <w:rsid w:val="00885AE4"/>
    <w:rsid w:val="0088634E"/>
    <w:rsid w:val="0088656D"/>
    <w:rsid w:val="00887A8A"/>
    <w:rsid w:val="00891DED"/>
    <w:rsid w:val="00892F3D"/>
    <w:rsid w:val="00895941"/>
    <w:rsid w:val="008A0FCB"/>
    <w:rsid w:val="008A2BF4"/>
    <w:rsid w:val="008A2C7D"/>
    <w:rsid w:val="008C4F8F"/>
    <w:rsid w:val="008C71B9"/>
    <w:rsid w:val="008D111F"/>
    <w:rsid w:val="008D2963"/>
    <w:rsid w:val="008D51B7"/>
    <w:rsid w:val="008D6505"/>
    <w:rsid w:val="008D6C40"/>
    <w:rsid w:val="008E0158"/>
    <w:rsid w:val="008E16CB"/>
    <w:rsid w:val="008E1893"/>
    <w:rsid w:val="008E293B"/>
    <w:rsid w:val="008E35E2"/>
    <w:rsid w:val="008E3A75"/>
    <w:rsid w:val="008E3E75"/>
    <w:rsid w:val="008E4B9A"/>
    <w:rsid w:val="008E5279"/>
    <w:rsid w:val="008E55E0"/>
    <w:rsid w:val="008F4216"/>
    <w:rsid w:val="008F7F4B"/>
    <w:rsid w:val="00900FCC"/>
    <w:rsid w:val="00901A3A"/>
    <w:rsid w:val="00912929"/>
    <w:rsid w:val="00913293"/>
    <w:rsid w:val="00914D13"/>
    <w:rsid w:val="00916C8E"/>
    <w:rsid w:val="00927904"/>
    <w:rsid w:val="009301B0"/>
    <w:rsid w:val="00934906"/>
    <w:rsid w:val="00934D82"/>
    <w:rsid w:val="00936495"/>
    <w:rsid w:val="009373E0"/>
    <w:rsid w:val="00947219"/>
    <w:rsid w:val="00954D02"/>
    <w:rsid w:val="00957A18"/>
    <w:rsid w:val="0096250E"/>
    <w:rsid w:val="0096354A"/>
    <w:rsid w:val="0096539C"/>
    <w:rsid w:val="00966552"/>
    <w:rsid w:val="00966EDC"/>
    <w:rsid w:val="00967C4A"/>
    <w:rsid w:val="00983AE3"/>
    <w:rsid w:val="00984685"/>
    <w:rsid w:val="0098520A"/>
    <w:rsid w:val="009855D5"/>
    <w:rsid w:val="00985EE9"/>
    <w:rsid w:val="0099050D"/>
    <w:rsid w:val="0099195E"/>
    <w:rsid w:val="009943CF"/>
    <w:rsid w:val="00997FBB"/>
    <w:rsid w:val="009A2370"/>
    <w:rsid w:val="009A30A8"/>
    <w:rsid w:val="009B20E4"/>
    <w:rsid w:val="009B2F05"/>
    <w:rsid w:val="009B2F5D"/>
    <w:rsid w:val="009B51BF"/>
    <w:rsid w:val="009B60B1"/>
    <w:rsid w:val="009C23C4"/>
    <w:rsid w:val="009C3039"/>
    <w:rsid w:val="009D06D6"/>
    <w:rsid w:val="009D0E70"/>
    <w:rsid w:val="009D4AF2"/>
    <w:rsid w:val="009E368E"/>
    <w:rsid w:val="009E37A1"/>
    <w:rsid w:val="009E55BE"/>
    <w:rsid w:val="009F207B"/>
    <w:rsid w:val="009F45E4"/>
    <w:rsid w:val="009F564D"/>
    <w:rsid w:val="00A00972"/>
    <w:rsid w:val="00A02375"/>
    <w:rsid w:val="00A02804"/>
    <w:rsid w:val="00A0454F"/>
    <w:rsid w:val="00A06014"/>
    <w:rsid w:val="00A07407"/>
    <w:rsid w:val="00A11627"/>
    <w:rsid w:val="00A11713"/>
    <w:rsid w:val="00A1274E"/>
    <w:rsid w:val="00A12842"/>
    <w:rsid w:val="00A13E1D"/>
    <w:rsid w:val="00A174E3"/>
    <w:rsid w:val="00A20F36"/>
    <w:rsid w:val="00A21CAE"/>
    <w:rsid w:val="00A22174"/>
    <w:rsid w:val="00A24214"/>
    <w:rsid w:val="00A26C50"/>
    <w:rsid w:val="00A318CB"/>
    <w:rsid w:val="00A33373"/>
    <w:rsid w:val="00A33DB1"/>
    <w:rsid w:val="00A407B6"/>
    <w:rsid w:val="00A41312"/>
    <w:rsid w:val="00A43BFF"/>
    <w:rsid w:val="00A44789"/>
    <w:rsid w:val="00A4712F"/>
    <w:rsid w:val="00A5485E"/>
    <w:rsid w:val="00A5646C"/>
    <w:rsid w:val="00A57D8C"/>
    <w:rsid w:val="00A6069A"/>
    <w:rsid w:val="00A63C19"/>
    <w:rsid w:val="00A718D1"/>
    <w:rsid w:val="00A730BC"/>
    <w:rsid w:val="00A73B5F"/>
    <w:rsid w:val="00A75A89"/>
    <w:rsid w:val="00A75DCA"/>
    <w:rsid w:val="00A770C6"/>
    <w:rsid w:val="00A8080B"/>
    <w:rsid w:val="00A82670"/>
    <w:rsid w:val="00A841ED"/>
    <w:rsid w:val="00A8682D"/>
    <w:rsid w:val="00A912FC"/>
    <w:rsid w:val="00A93800"/>
    <w:rsid w:val="00A9465D"/>
    <w:rsid w:val="00A94B74"/>
    <w:rsid w:val="00A95A3C"/>
    <w:rsid w:val="00AA320C"/>
    <w:rsid w:val="00AA3D50"/>
    <w:rsid w:val="00AA48EF"/>
    <w:rsid w:val="00AA5854"/>
    <w:rsid w:val="00AB208F"/>
    <w:rsid w:val="00AC10A3"/>
    <w:rsid w:val="00AC3491"/>
    <w:rsid w:val="00AC3FFF"/>
    <w:rsid w:val="00AC4848"/>
    <w:rsid w:val="00AC48F3"/>
    <w:rsid w:val="00AC5050"/>
    <w:rsid w:val="00AC626B"/>
    <w:rsid w:val="00AC6AF4"/>
    <w:rsid w:val="00AD0052"/>
    <w:rsid w:val="00AD080A"/>
    <w:rsid w:val="00AD333B"/>
    <w:rsid w:val="00AD6B04"/>
    <w:rsid w:val="00AE070F"/>
    <w:rsid w:val="00AE56FC"/>
    <w:rsid w:val="00AE6960"/>
    <w:rsid w:val="00AE7094"/>
    <w:rsid w:val="00AF4F80"/>
    <w:rsid w:val="00AF557B"/>
    <w:rsid w:val="00B0218A"/>
    <w:rsid w:val="00B1227B"/>
    <w:rsid w:val="00B12789"/>
    <w:rsid w:val="00B16885"/>
    <w:rsid w:val="00B17BB3"/>
    <w:rsid w:val="00B214C8"/>
    <w:rsid w:val="00B21C9F"/>
    <w:rsid w:val="00B22057"/>
    <w:rsid w:val="00B232F3"/>
    <w:rsid w:val="00B30EAE"/>
    <w:rsid w:val="00B4065A"/>
    <w:rsid w:val="00B47138"/>
    <w:rsid w:val="00B537B2"/>
    <w:rsid w:val="00B5511A"/>
    <w:rsid w:val="00B5610C"/>
    <w:rsid w:val="00B57640"/>
    <w:rsid w:val="00B6612A"/>
    <w:rsid w:val="00B669A4"/>
    <w:rsid w:val="00B67312"/>
    <w:rsid w:val="00B676A3"/>
    <w:rsid w:val="00B72655"/>
    <w:rsid w:val="00B72B6D"/>
    <w:rsid w:val="00B804F1"/>
    <w:rsid w:val="00B80DA4"/>
    <w:rsid w:val="00B824D4"/>
    <w:rsid w:val="00B834A4"/>
    <w:rsid w:val="00B9031E"/>
    <w:rsid w:val="00B91779"/>
    <w:rsid w:val="00B92B98"/>
    <w:rsid w:val="00B92E31"/>
    <w:rsid w:val="00B9421A"/>
    <w:rsid w:val="00B9482B"/>
    <w:rsid w:val="00B9635A"/>
    <w:rsid w:val="00BA03A1"/>
    <w:rsid w:val="00BA31BF"/>
    <w:rsid w:val="00BA5D72"/>
    <w:rsid w:val="00BB1034"/>
    <w:rsid w:val="00BB4274"/>
    <w:rsid w:val="00BB79AE"/>
    <w:rsid w:val="00BC0E1D"/>
    <w:rsid w:val="00BC13F9"/>
    <w:rsid w:val="00BC48C1"/>
    <w:rsid w:val="00BC6B1E"/>
    <w:rsid w:val="00BD0746"/>
    <w:rsid w:val="00BD42EF"/>
    <w:rsid w:val="00BD7319"/>
    <w:rsid w:val="00BE069F"/>
    <w:rsid w:val="00BE202F"/>
    <w:rsid w:val="00BE254B"/>
    <w:rsid w:val="00BE3E13"/>
    <w:rsid w:val="00BE53AB"/>
    <w:rsid w:val="00BE60D9"/>
    <w:rsid w:val="00BF1B40"/>
    <w:rsid w:val="00BF2C14"/>
    <w:rsid w:val="00BF3A57"/>
    <w:rsid w:val="00BF4344"/>
    <w:rsid w:val="00BF5393"/>
    <w:rsid w:val="00C070E6"/>
    <w:rsid w:val="00C07B39"/>
    <w:rsid w:val="00C10209"/>
    <w:rsid w:val="00C129D6"/>
    <w:rsid w:val="00C12BB0"/>
    <w:rsid w:val="00C13B3D"/>
    <w:rsid w:val="00C17992"/>
    <w:rsid w:val="00C21405"/>
    <w:rsid w:val="00C225DD"/>
    <w:rsid w:val="00C25F62"/>
    <w:rsid w:val="00C2791A"/>
    <w:rsid w:val="00C307AC"/>
    <w:rsid w:val="00C35F68"/>
    <w:rsid w:val="00C526AC"/>
    <w:rsid w:val="00C5401B"/>
    <w:rsid w:val="00C541BC"/>
    <w:rsid w:val="00C55551"/>
    <w:rsid w:val="00C60174"/>
    <w:rsid w:val="00C62BB7"/>
    <w:rsid w:val="00C6325B"/>
    <w:rsid w:val="00C63AD5"/>
    <w:rsid w:val="00C65C89"/>
    <w:rsid w:val="00C70DC6"/>
    <w:rsid w:val="00C71799"/>
    <w:rsid w:val="00C71AAB"/>
    <w:rsid w:val="00C74177"/>
    <w:rsid w:val="00C75B44"/>
    <w:rsid w:val="00C80E1C"/>
    <w:rsid w:val="00C811AA"/>
    <w:rsid w:val="00C82A6B"/>
    <w:rsid w:val="00C82DE0"/>
    <w:rsid w:val="00C918F7"/>
    <w:rsid w:val="00C93C7A"/>
    <w:rsid w:val="00CA11F7"/>
    <w:rsid w:val="00CA42CF"/>
    <w:rsid w:val="00CA6ADD"/>
    <w:rsid w:val="00CB2433"/>
    <w:rsid w:val="00CB39F4"/>
    <w:rsid w:val="00CB4676"/>
    <w:rsid w:val="00CB595A"/>
    <w:rsid w:val="00CC315B"/>
    <w:rsid w:val="00CC5315"/>
    <w:rsid w:val="00CD4FEE"/>
    <w:rsid w:val="00CD549E"/>
    <w:rsid w:val="00CE2E13"/>
    <w:rsid w:val="00CE5A77"/>
    <w:rsid w:val="00CE600B"/>
    <w:rsid w:val="00CF01D5"/>
    <w:rsid w:val="00CF1290"/>
    <w:rsid w:val="00CF1C7D"/>
    <w:rsid w:val="00CF7B55"/>
    <w:rsid w:val="00D03850"/>
    <w:rsid w:val="00D04F28"/>
    <w:rsid w:val="00D06231"/>
    <w:rsid w:val="00D1162A"/>
    <w:rsid w:val="00D11FAF"/>
    <w:rsid w:val="00D1298C"/>
    <w:rsid w:val="00D12EAE"/>
    <w:rsid w:val="00D15E66"/>
    <w:rsid w:val="00D1704A"/>
    <w:rsid w:val="00D17692"/>
    <w:rsid w:val="00D20BB6"/>
    <w:rsid w:val="00D22636"/>
    <w:rsid w:val="00D30847"/>
    <w:rsid w:val="00D31FE9"/>
    <w:rsid w:val="00D32039"/>
    <w:rsid w:val="00D320D8"/>
    <w:rsid w:val="00D336B2"/>
    <w:rsid w:val="00D34ED7"/>
    <w:rsid w:val="00D35CEC"/>
    <w:rsid w:val="00D4043B"/>
    <w:rsid w:val="00D41DE7"/>
    <w:rsid w:val="00D473B9"/>
    <w:rsid w:val="00D5197A"/>
    <w:rsid w:val="00D5501E"/>
    <w:rsid w:val="00D55785"/>
    <w:rsid w:val="00D60686"/>
    <w:rsid w:val="00D61D45"/>
    <w:rsid w:val="00D61ECA"/>
    <w:rsid w:val="00D6387F"/>
    <w:rsid w:val="00D70E8E"/>
    <w:rsid w:val="00D7262D"/>
    <w:rsid w:val="00D732E4"/>
    <w:rsid w:val="00D755CD"/>
    <w:rsid w:val="00D761B9"/>
    <w:rsid w:val="00D81528"/>
    <w:rsid w:val="00D91172"/>
    <w:rsid w:val="00D91D29"/>
    <w:rsid w:val="00D9360A"/>
    <w:rsid w:val="00D96892"/>
    <w:rsid w:val="00DA0099"/>
    <w:rsid w:val="00DA0DFD"/>
    <w:rsid w:val="00DA41F2"/>
    <w:rsid w:val="00DA44F7"/>
    <w:rsid w:val="00DB1FC7"/>
    <w:rsid w:val="00DB3560"/>
    <w:rsid w:val="00DC10EF"/>
    <w:rsid w:val="00DC2FE1"/>
    <w:rsid w:val="00DC56C4"/>
    <w:rsid w:val="00DC69FC"/>
    <w:rsid w:val="00DC7B1B"/>
    <w:rsid w:val="00DD2721"/>
    <w:rsid w:val="00DD2F75"/>
    <w:rsid w:val="00DD4138"/>
    <w:rsid w:val="00DD5B82"/>
    <w:rsid w:val="00DD654B"/>
    <w:rsid w:val="00DE05D7"/>
    <w:rsid w:val="00DE081F"/>
    <w:rsid w:val="00DE093B"/>
    <w:rsid w:val="00DE0B2F"/>
    <w:rsid w:val="00DE3CAA"/>
    <w:rsid w:val="00DE5CAA"/>
    <w:rsid w:val="00DE6088"/>
    <w:rsid w:val="00DE6B8A"/>
    <w:rsid w:val="00DF524A"/>
    <w:rsid w:val="00DF6C9A"/>
    <w:rsid w:val="00DF7D94"/>
    <w:rsid w:val="00E03BBF"/>
    <w:rsid w:val="00E111F2"/>
    <w:rsid w:val="00E1575D"/>
    <w:rsid w:val="00E21604"/>
    <w:rsid w:val="00E216C6"/>
    <w:rsid w:val="00E22280"/>
    <w:rsid w:val="00E22656"/>
    <w:rsid w:val="00E24B46"/>
    <w:rsid w:val="00E300E9"/>
    <w:rsid w:val="00E33661"/>
    <w:rsid w:val="00E33A13"/>
    <w:rsid w:val="00E35C8F"/>
    <w:rsid w:val="00E362C8"/>
    <w:rsid w:val="00E477C1"/>
    <w:rsid w:val="00E5382A"/>
    <w:rsid w:val="00E54366"/>
    <w:rsid w:val="00E549C6"/>
    <w:rsid w:val="00E55EF0"/>
    <w:rsid w:val="00E60E82"/>
    <w:rsid w:val="00E61668"/>
    <w:rsid w:val="00E619E3"/>
    <w:rsid w:val="00E70990"/>
    <w:rsid w:val="00E70D31"/>
    <w:rsid w:val="00E76EC0"/>
    <w:rsid w:val="00E77CDD"/>
    <w:rsid w:val="00E8097E"/>
    <w:rsid w:val="00E816C7"/>
    <w:rsid w:val="00E8325D"/>
    <w:rsid w:val="00E9105D"/>
    <w:rsid w:val="00E9193D"/>
    <w:rsid w:val="00E93942"/>
    <w:rsid w:val="00E94089"/>
    <w:rsid w:val="00EA01DB"/>
    <w:rsid w:val="00EA2828"/>
    <w:rsid w:val="00EA5435"/>
    <w:rsid w:val="00EB0A84"/>
    <w:rsid w:val="00EB341D"/>
    <w:rsid w:val="00EB37B8"/>
    <w:rsid w:val="00EB3C3A"/>
    <w:rsid w:val="00EB7F05"/>
    <w:rsid w:val="00EC0FEB"/>
    <w:rsid w:val="00EC1F8E"/>
    <w:rsid w:val="00EC284C"/>
    <w:rsid w:val="00EC3945"/>
    <w:rsid w:val="00EC3D0B"/>
    <w:rsid w:val="00EC4075"/>
    <w:rsid w:val="00EC4DBD"/>
    <w:rsid w:val="00EC7A9C"/>
    <w:rsid w:val="00ED3356"/>
    <w:rsid w:val="00ED4955"/>
    <w:rsid w:val="00ED72DD"/>
    <w:rsid w:val="00EE12D2"/>
    <w:rsid w:val="00EE4E59"/>
    <w:rsid w:val="00EF1071"/>
    <w:rsid w:val="00EF3F99"/>
    <w:rsid w:val="00F03A79"/>
    <w:rsid w:val="00F03CC9"/>
    <w:rsid w:val="00F06A40"/>
    <w:rsid w:val="00F078D8"/>
    <w:rsid w:val="00F1405D"/>
    <w:rsid w:val="00F14FE4"/>
    <w:rsid w:val="00F15ED1"/>
    <w:rsid w:val="00F161EE"/>
    <w:rsid w:val="00F166EE"/>
    <w:rsid w:val="00F20DDA"/>
    <w:rsid w:val="00F23B6F"/>
    <w:rsid w:val="00F270AD"/>
    <w:rsid w:val="00F2786D"/>
    <w:rsid w:val="00F27A5E"/>
    <w:rsid w:val="00F408DC"/>
    <w:rsid w:val="00F426CB"/>
    <w:rsid w:val="00F42A61"/>
    <w:rsid w:val="00F42BC4"/>
    <w:rsid w:val="00F43439"/>
    <w:rsid w:val="00F43C19"/>
    <w:rsid w:val="00F4497B"/>
    <w:rsid w:val="00F450CB"/>
    <w:rsid w:val="00F46EA9"/>
    <w:rsid w:val="00F511CE"/>
    <w:rsid w:val="00F523AD"/>
    <w:rsid w:val="00F526EC"/>
    <w:rsid w:val="00F52D27"/>
    <w:rsid w:val="00F53765"/>
    <w:rsid w:val="00F55C87"/>
    <w:rsid w:val="00F56D85"/>
    <w:rsid w:val="00F576AD"/>
    <w:rsid w:val="00F6101F"/>
    <w:rsid w:val="00F62DE4"/>
    <w:rsid w:val="00F64A73"/>
    <w:rsid w:val="00F71469"/>
    <w:rsid w:val="00F73B3A"/>
    <w:rsid w:val="00F746EF"/>
    <w:rsid w:val="00F74D67"/>
    <w:rsid w:val="00F74DB7"/>
    <w:rsid w:val="00F757F5"/>
    <w:rsid w:val="00F84EB7"/>
    <w:rsid w:val="00F8789F"/>
    <w:rsid w:val="00F902D6"/>
    <w:rsid w:val="00F91A68"/>
    <w:rsid w:val="00F92224"/>
    <w:rsid w:val="00F92B7B"/>
    <w:rsid w:val="00F92CB1"/>
    <w:rsid w:val="00F93262"/>
    <w:rsid w:val="00F9523B"/>
    <w:rsid w:val="00F9676B"/>
    <w:rsid w:val="00F96EB7"/>
    <w:rsid w:val="00FA051D"/>
    <w:rsid w:val="00FA513A"/>
    <w:rsid w:val="00FA695B"/>
    <w:rsid w:val="00FB152F"/>
    <w:rsid w:val="00FB4798"/>
    <w:rsid w:val="00FB598A"/>
    <w:rsid w:val="00FB7DEE"/>
    <w:rsid w:val="00FC06B3"/>
    <w:rsid w:val="00FC3EF9"/>
    <w:rsid w:val="00FC4F05"/>
    <w:rsid w:val="00FC4F9D"/>
    <w:rsid w:val="00FC5D33"/>
    <w:rsid w:val="00FC6166"/>
    <w:rsid w:val="00FD16B0"/>
    <w:rsid w:val="00FD235B"/>
    <w:rsid w:val="00FD54A6"/>
    <w:rsid w:val="00FD5E25"/>
    <w:rsid w:val="00FD6DF2"/>
    <w:rsid w:val="00FE002C"/>
    <w:rsid w:val="00FE0254"/>
    <w:rsid w:val="00FE479A"/>
    <w:rsid w:val="00FE7F8B"/>
    <w:rsid w:val="00FF6CE4"/>
    <w:rsid w:val="00FF7EAC"/>
    <w:rsid w:val="017BAE9A"/>
    <w:rsid w:val="034A65FF"/>
    <w:rsid w:val="034B0E9B"/>
    <w:rsid w:val="03676C27"/>
    <w:rsid w:val="04103CBA"/>
    <w:rsid w:val="04682F2F"/>
    <w:rsid w:val="047A9A62"/>
    <w:rsid w:val="0544A010"/>
    <w:rsid w:val="057722B4"/>
    <w:rsid w:val="0580DBF6"/>
    <w:rsid w:val="059F6776"/>
    <w:rsid w:val="062775A3"/>
    <w:rsid w:val="06A3DEF4"/>
    <w:rsid w:val="06B620C9"/>
    <w:rsid w:val="06E8CF99"/>
    <w:rsid w:val="075628D1"/>
    <w:rsid w:val="07D0EE51"/>
    <w:rsid w:val="0802BA8A"/>
    <w:rsid w:val="081FC2A1"/>
    <w:rsid w:val="08310778"/>
    <w:rsid w:val="0912C73F"/>
    <w:rsid w:val="0918918D"/>
    <w:rsid w:val="09A9D241"/>
    <w:rsid w:val="09D566A9"/>
    <w:rsid w:val="0A01F626"/>
    <w:rsid w:val="0A1AC330"/>
    <w:rsid w:val="0A533BBA"/>
    <w:rsid w:val="0AC1E351"/>
    <w:rsid w:val="0AD663F6"/>
    <w:rsid w:val="0B818A90"/>
    <w:rsid w:val="0BE3A0F3"/>
    <w:rsid w:val="0C23800A"/>
    <w:rsid w:val="0C2C5C19"/>
    <w:rsid w:val="0C468766"/>
    <w:rsid w:val="0C7AFB7A"/>
    <w:rsid w:val="0D70E841"/>
    <w:rsid w:val="0DB96CF6"/>
    <w:rsid w:val="0DE995B8"/>
    <w:rsid w:val="0E086201"/>
    <w:rsid w:val="0E4275B0"/>
    <w:rsid w:val="0E8A56D3"/>
    <w:rsid w:val="0E96769A"/>
    <w:rsid w:val="0EDAE803"/>
    <w:rsid w:val="0F08E9FF"/>
    <w:rsid w:val="10A9E92F"/>
    <w:rsid w:val="11135822"/>
    <w:rsid w:val="113FDCC8"/>
    <w:rsid w:val="119A47FF"/>
    <w:rsid w:val="119E56C5"/>
    <w:rsid w:val="11A21927"/>
    <w:rsid w:val="12374328"/>
    <w:rsid w:val="12BA43C6"/>
    <w:rsid w:val="12D21ED7"/>
    <w:rsid w:val="1370291C"/>
    <w:rsid w:val="137F40F5"/>
    <w:rsid w:val="1394C9BE"/>
    <w:rsid w:val="13A4F050"/>
    <w:rsid w:val="13C4C279"/>
    <w:rsid w:val="13D29E17"/>
    <w:rsid w:val="14002B80"/>
    <w:rsid w:val="1413AD0D"/>
    <w:rsid w:val="149036CC"/>
    <w:rsid w:val="14B8652C"/>
    <w:rsid w:val="1524D924"/>
    <w:rsid w:val="15860DF3"/>
    <w:rsid w:val="1615B0BB"/>
    <w:rsid w:val="16201CC0"/>
    <w:rsid w:val="163587EF"/>
    <w:rsid w:val="166F3618"/>
    <w:rsid w:val="168AF280"/>
    <w:rsid w:val="16BE86EF"/>
    <w:rsid w:val="16E9D94D"/>
    <w:rsid w:val="1764AD2B"/>
    <w:rsid w:val="17D947AB"/>
    <w:rsid w:val="17F8418E"/>
    <w:rsid w:val="18869912"/>
    <w:rsid w:val="1891A908"/>
    <w:rsid w:val="1895869B"/>
    <w:rsid w:val="189EA1CE"/>
    <w:rsid w:val="19085363"/>
    <w:rsid w:val="1961599C"/>
    <w:rsid w:val="19C068F3"/>
    <w:rsid w:val="19C4807F"/>
    <w:rsid w:val="19E2C029"/>
    <w:rsid w:val="1A08A889"/>
    <w:rsid w:val="1A334F8A"/>
    <w:rsid w:val="1AA3C7D6"/>
    <w:rsid w:val="1AA51493"/>
    <w:rsid w:val="1ABFE74E"/>
    <w:rsid w:val="1ACE3BD0"/>
    <w:rsid w:val="1ADC69CA"/>
    <w:rsid w:val="1ADCCA8D"/>
    <w:rsid w:val="1AFD5EF5"/>
    <w:rsid w:val="1B29F333"/>
    <w:rsid w:val="1B6859CA"/>
    <w:rsid w:val="1BEC0602"/>
    <w:rsid w:val="1BF57570"/>
    <w:rsid w:val="1C44B52A"/>
    <w:rsid w:val="1C49B25B"/>
    <w:rsid w:val="1C6A0766"/>
    <w:rsid w:val="1C91C975"/>
    <w:rsid w:val="1CBDB561"/>
    <w:rsid w:val="1D03962E"/>
    <w:rsid w:val="1D9C0697"/>
    <w:rsid w:val="1DD26740"/>
    <w:rsid w:val="1DE50BA5"/>
    <w:rsid w:val="1DFF46B8"/>
    <w:rsid w:val="1E2681E7"/>
    <w:rsid w:val="1E338718"/>
    <w:rsid w:val="1E439B14"/>
    <w:rsid w:val="1E5B125D"/>
    <w:rsid w:val="1E68B21F"/>
    <w:rsid w:val="1EA75C28"/>
    <w:rsid w:val="1ECA5DCF"/>
    <w:rsid w:val="1F090709"/>
    <w:rsid w:val="1F0D261F"/>
    <w:rsid w:val="1F319F80"/>
    <w:rsid w:val="1F574947"/>
    <w:rsid w:val="1F954E6C"/>
    <w:rsid w:val="1FCE3EB0"/>
    <w:rsid w:val="1FD88A4A"/>
    <w:rsid w:val="1FF37888"/>
    <w:rsid w:val="201CDEB1"/>
    <w:rsid w:val="20CA9BE0"/>
    <w:rsid w:val="20E62495"/>
    <w:rsid w:val="21075E49"/>
    <w:rsid w:val="2174FED7"/>
    <w:rsid w:val="21BDCC6D"/>
    <w:rsid w:val="21F19D2A"/>
    <w:rsid w:val="225B7693"/>
    <w:rsid w:val="226B9B07"/>
    <w:rsid w:val="227F9CA6"/>
    <w:rsid w:val="22945B76"/>
    <w:rsid w:val="22E6C77F"/>
    <w:rsid w:val="23485C02"/>
    <w:rsid w:val="2392AFFB"/>
    <w:rsid w:val="239F5A57"/>
    <w:rsid w:val="23F9E8E1"/>
    <w:rsid w:val="23FC819C"/>
    <w:rsid w:val="2432560D"/>
    <w:rsid w:val="2482C539"/>
    <w:rsid w:val="24C4F68C"/>
    <w:rsid w:val="2530A123"/>
    <w:rsid w:val="258F9A44"/>
    <w:rsid w:val="25905C2B"/>
    <w:rsid w:val="25C8A4F2"/>
    <w:rsid w:val="25E995D6"/>
    <w:rsid w:val="26053F4A"/>
    <w:rsid w:val="267C4E89"/>
    <w:rsid w:val="26DBF653"/>
    <w:rsid w:val="2740863F"/>
    <w:rsid w:val="27AD4693"/>
    <w:rsid w:val="27C4734C"/>
    <w:rsid w:val="27E625DC"/>
    <w:rsid w:val="27FFF2DA"/>
    <w:rsid w:val="285A7663"/>
    <w:rsid w:val="2905D96F"/>
    <w:rsid w:val="290B2A8F"/>
    <w:rsid w:val="29319D1D"/>
    <w:rsid w:val="29390063"/>
    <w:rsid w:val="29390DC8"/>
    <w:rsid w:val="2957E7EE"/>
    <w:rsid w:val="29E28A73"/>
    <w:rsid w:val="2A26AF0A"/>
    <w:rsid w:val="2A2C638E"/>
    <w:rsid w:val="2A412B63"/>
    <w:rsid w:val="2A66E7A9"/>
    <w:rsid w:val="2AD90FA3"/>
    <w:rsid w:val="2ADDC2AB"/>
    <w:rsid w:val="2AE27776"/>
    <w:rsid w:val="2AF4BC18"/>
    <w:rsid w:val="2AFF40C1"/>
    <w:rsid w:val="2B4D05F7"/>
    <w:rsid w:val="2B6BAE29"/>
    <w:rsid w:val="2BFB76D3"/>
    <w:rsid w:val="2C38A517"/>
    <w:rsid w:val="2C5C9585"/>
    <w:rsid w:val="2C80B314"/>
    <w:rsid w:val="2CC35B0B"/>
    <w:rsid w:val="2CDC475C"/>
    <w:rsid w:val="2CFC762B"/>
    <w:rsid w:val="2D09ADA5"/>
    <w:rsid w:val="2D559D34"/>
    <w:rsid w:val="2D5BFA78"/>
    <w:rsid w:val="2DC2AAA9"/>
    <w:rsid w:val="2E01B0EA"/>
    <w:rsid w:val="2E143B2E"/>
    <w:rsid w:val="2E345A5B"/>
    <w:rsid w:val="2E4F9604"/>
    <w:rsid w:val="2E84D2C6"/>
    <w:rsid w:val="2EF95035"/>
    <w:rsid w:val="2F444DFB"/>
    <w:rsid w:val="2F836344"/>
    <w:rsid w:val="2FA91AB4"/>
    <w:rsid w:val="30A61D2C"/>
    <w:rsid w:val="30A9757D"/>
    <w:rsid w:val="31CD0335"/>
    <w:rsid w:val="31F423A6"/>
    <w:rsid w:val="3206AB02"/>
    <w:rsid w:val="3208E540"/>
    <w:rsid w:val="32315C5B"/>
    <w:rsid w:val="327F9C5E"/>
    <w:rsid w:val="32C89404"/>
    <w:rsid w:val="32F04563"/>
    <w:rsid w:val="3301C91E"/>
    <w:rsid w:val="339126A1"/>
    <w:rsid w:val="34175751"/>
    <w:rsid w:val="34853C89"/>
    <w:rsid w:val="34CCB988"/>
    <w:rsid w:val="34DF7887"/>
    <w:rsid w:val="354F1546"/>
    <w:rsid w:val="35806ABC"/>
    <w:rsid w:val="35A0B58D"/>
    <w:rsid w:val="35A2CFE2"/>
    <w:rsid w:val="35F76187"/>
    <w:rsid w:val="3659D3FC"/>
    <w:rsid w:val="365C7C61"/>
    <w:rsid w:val="36B2C7CA"/>
    <w:rsid w:val="37596D25"/>
    <w:rsid w:val="37DB128A"/>
    <w:rsid w:val="37E0DF19"/>
    <w:rsid w:val="37F8D609"/>
    <w:rsid w:val="38349FC6"/>
    <w:rsid w:val="384AAA01"/>
    <w:rsid w:val="388CC25C"/>
    <w:rsid w:val="38A74A8E"/>
    <w:rsid w:val="38C44C4E"/>
    <w:rsid w:val="38DED529"/>
    <w:rsid w:val="3944E604"/>
    <w:rsid w:val="39B823AB"/>
    <w:rsid w:val="39DEB2BA"/>
    <w:rsid w:val="39E2FBE4"/>
    <w:rsid w:val="3A3E32AF"/>
    <w:rsid w:val="3A5D0A13"/>
    <w:rsid w:val="3AEF9E56"/>
    <w:rsid w:val="3B3ABF57"/>
    <w:rsid w:val="3BD8A291"/>
    <w:rsid w:val="3BF4DB2E"/>
    <w:rsid w:val="3C1932B9"/>
    <w:rsid w:val="3C343471"/>
    <w:rsid w:val="3C5032C6"/>
    <w:rsid w:val="3D011880"/>
    <w:rsid w:val="3D412803"/>
    <w:rsid w:val="3D978335"/>
    <w:rsid w:val="3DC006AE"/>
    <w:rsid w:val="3F1D7011"/>
    <w:rsid w:val="3F52D9B2"/>
    <w:rsid w:val="3F625728"/>
    <w:rsid w:val="3F6D7B27"/>
    <w:rsid w:val="3F93415B"/>
    <w:rsid w:val="3FB07302"/>
    <w:rsid w:val="3FEE3EDA"/>
    <w:rsid w:val="40154610"/>
    <w:rsid w:val="40606B25"/>
    <w:rsid w:val="406CA37F"/>
    <w:rsid w:val="407728B0"/>
    <w:rsid w:val="40C874EB"/>
    <w:rsid w:val="41797AF4"/>
    <w:rsid w:val="41C5AFCF"/>
    <w:rsid w:val="42048209"/>
    <w:rsid w:val="42081266"/>
    <w:rsid w:val="42758A53"/>
    <w:rsid w:val="42876B87"/>
    <w:rsid w:val="42999697"/>
    <w:rsid w:val="42D36E67"/>
    <w:rsid w:val="43223AE6"/>
    <w:rsid w:val="43319BF7"/>
    <w:rsid w:val="4335A618"/>
    <w:rsid w:val="4342B945"/>
    <w:rsid w:val="434F9079"/>
    <w:rsid w:val="43C3DE72"/>
    <w:rsid w:val="43EABB83"/>
    <w:rsid w:val="441EB4B5"/>
    <w:rsid w:val="443AD159"/>
    <w:rsid w:val="4462C3BF"/>
    <w:rsid w:val="4472A79B"/>
    <w:rsid w:val="44760E64"/>
    <w:rsid w:val="44A286FC"/>
    <w:rsid w:val="44EB922E"/>
    <w:rsid w:val="45213849"/>
    <w:rsid w:val="456A088D"/>
    <w:rsid w:val="45AF8AEA"/>
    <w:rsid w:val="45B23BBF"/>
    <w:rsid w:val="45B7E0ED"/>
    <w:rsid w:val="464A39ED"/>
    <w:rsid w:val="46629100"/>
    <w:rsid w:val="46D2F21D"/>
    <w:rsid w:val="46D3FFE6"/>
    <w:rsid w:val="47020824"/>
    <w:rsid w:val="473D35AD"/>
    <w:rsid w:val="4745006B"/>
    <w:rsid w:val="47B58962"/>
    <w:rsid w:val="47CA8D08"/>
    <w:rsid w:val="480020A7"/>
    <w:rsid w:val="48123C12"/>
    <w:rsid w:val="482A64E9"/>
    <w:rsid w:val="48386ADE"/>
    <w:rsid w:val="4853B75A"/>
    <w:rsid w:val="48C8C88D"/>
    <w:rsid w:val="48CE04D1"/>
    <w:rsid w:val="48F6A266"/>
    <w:rsid w:val="4966E16E"/>
    <w:rsid w:val="49E8214C"/>
    <w:rsid w:val="4A56884C"/>
    <w:rsid w:val="4A65736B"/>
    <w:rsid w:val="4ACFFACD"/>
    <w:rsid w:val="4BAC6083"/>
    <w:rsid w:val="4C05031C"/>
    <w:rsid w:val="4C09EACB"/>
    <w:rsid w:val="4C4DEC72"/>
    <w:rsid w:val="4C6E37BC"/>
    <w:rsid w:val="4C964CDD"/>
    <w:rsid w:val="4CA2BE91"/>
    <w:rsid w:val="4CA4959C"/>
    <w:rsid w:val="4D8DBE63"/>
    <w:rsid w:val="4D9E5EC9"/>
    <w:rsid w:val="4E510F83"/>
    <w:rsid w:val="4E91AADA"/>
    <w:rsid w:val="4F0A0F20"/>
    <w:rsid w:val="4F0E388A"/>
    <w:rsid w:val="4F5AA71D"/>
    <w:rsid w:val="4F6AE0CE"/>
    <w:rsid w:val="4F833D89"/>
    <w:rsid w:val="4FA036E4"/>
    <w:rsid w:val="5095B79B"/>
    <w:rsid w:val="50BE01DD"/>
    <w:rsid w:val="50C17D64"/>
    <w:rsid w:val="50E51C66"/>
    <w:rsid w:val="51084F3C"/>
    <w:rsid w:val="51B59CE0"/>
    <w:rsid w:val="51BA73A9"/>
    <w:rsid w:val="51D2A82D"/>
    <w:rsid w:val="5238E6FF"/>
    <w:rsid w:val="523A9C56"/>
    <w:rsid w:val="525048ED"/>
    <w:rsid w:val="5257AB38"/>
    <w:rsid w:val="525B1E89"/>
    <w:rsid w:val="5266AA2B"/>
    <w:rsid w:val="534BC841"/>
    <w:rsid w:val="5355EBCF"/>
    <w:rsid w:val="538211DB"/>
    <w:rsid w:val="53882820"/>
    <w:rsid w:val="53D04C93"/>
    <w:rsid w:val="54269D95"/>
    <w:rsid w:val="545CEE2F"/>
    <w:rsid w:val="54E05025"/>
    <w:rsid w:val="551210BC"/>
    <w:rsid w:val="551409B3"/>
    <w:rsid w:val="558E95DA"/>
    <w:rsid w:val="5593954E"/>
    <w:rsid w:val="55A3A030"/>
    <w:rsid w:val="55FD941F"/>
    <w:rsid w:val="567C6646"/>
    <w:rsid w:val="568472AF"/>
    <w:rsid w:val="56AB3F07"/>
    <w:rsid w:val="56AF2281"/>
    <w:rsid w:val="56B20BD2"/>
    <w:rsid w:val="56B4B66F"/>
    <w:rsid w:val="56CF5671"/>
    <w:rsid w:val="56D563FF"/>
    <w:rsid w:val="56ECCEAA"/>
    <w:rsid w:val="56ECE8EC"/>
    <w:rsid w:val="5712916D"/>
    <w:rsid w:val="57654EDF"/>
    <w:rsid w:val="578F3860"/>
    <w:rsid w:val="57BE54B3"/>
    <w:rsid w:val="57CE0207"/>
    <w:rsid w:val="584B6FE4"/>
    <w:rsid w:val="58FB94BF"/>
    <w:rsid w:val="590F9090"/>
    <w:rsid w:val="599FD46B"/>
    <w:rsid w:val="5A46DD29"/>
    <w:rsid w:val="5A6A1545"/>
    <w:rsid w:val="5A8AC7B0"/>
    <w:rsid w:val="5ADB4362"/>
    <w:rsid w:val="5B0C7802"/>
    <w:rsid w:val="5B1C12E5"/>
    <w:rsid w:val="5B932C42"/>
    <w:rsid w:val="5B950356"/>
    <w:rsid w:val="5B9E9BCD"/>
    <w:rsid w:val="5BC6ADC0"/>
    <w:rsid w:val="5C3335F2"/>
    <w:rsid w:val="5C5305E6"/>
    <w:rsid w:val="5CEDF68D"/>
    <w:rsid w:val="5D2D9C95"/>
    <w:rsid w:val="5D33E713"/>
    <w:rsid w:val="5D936D92"/>
    <w:rsid w:val="5DE4A235"/>
    <w:rsid w:val="5E14CFAC"/>
    <w:rsid w:val="5E6F73DB"/>
    <w:rsid w:val="5E802048"/>
    <w:rsid w:val="5E8043EF"/>
    <w:rsid w:val="5F055B01"/>
    <w:rsid w:val="5F1F8836"/>
    <w:rsid w:val="5F650F9A"/>
    <w:rsid w:val="5F77D474"/>
    <w:rsid w:val="5F88D927"/>
    <w:rsid w:val="5FFDD4DD"/>
    <w:rsid w:val="6089E107"/>
    <w:rsid w:val="6165CA71"/>
    <w:rsid w:val="61CFF0C9"/>
    <w:rsid w:val="61F54DE6"/>
    <w:rsid w:val="61F71B34"/>
    <w:rsid w:val="62EB2A49"/>
    <w:rsid w:val="6314D121"/>
    <w:rsid w:val="63F308B9"/>
    <w:rsid w:val="6453FBD2"/>
    <w:rsid w:val="64A79541"/>
    <w:rsid w:val="65BD082A"/>
    <w:rsid w:val="65F89F51"/>
    <w:rsid w:val="6616D2F5"/>
    <w:rsid w:val="6668C6A7"/>
    <w:rsid w:val="667CCAC9"/>
    <w:rsid w:val="667D3182"/>
    <w:rsid w:val="6758A346"/>
    <w:rsid w:val="676EB861"/>
    <w:rsid w:val="678194C4"/>
    <w:rsid w:val="680BD570"/>
    <w:rsid w:val="6993808C"/>
    <w:rsid w:val="6A0839D4"/>
    <w:rsid w:val="6A1EBD94"/>
    <w:rsid w:val="6A538E1D"/>
    <w:rsid w:val="6AB6F62D"/>
    <w:rsid w:val="6B7516D1"/>
    <w:rsid w:val="6B77980A"/>
    <w:rsid w:val="6C2673BF"/>
    <w:rsid w:val="6C6BD3DB"/>
    <w:rsid w:val="6CDC65E0"/>
    <w:rsid w:val="6D007E3C"/>
    <w:rsid w:val="6DBD1BD9"/>
    <w:rsid w:val="6DFE4E95"/>
    <w:rsid w:val="6E02FA1A"/>
    <w:rsid w:val="6EDB5BC9"/>
    <w:rsid w:val="6EF0A826"/>
    <w:rsid w:val="6FD103B1"/>
    <w:rsid w:val="71432AAE"/>
    <w:rsid w:val="7145FA3C"/>
    <w:rsid w:val="7149710A"/>
    <w:rsid w:val="71837130"/>
    <w:rsid w:val="7188E736"/>
    <w:rsid w:val="71B6D6EC"/>
    <w:rsid w:val="71C3CF81"/>
    <w:rsid w:val="71CED10A"/>
    <w:rsid w:val="720F928F"/>
    <w:rsid w:val="724311C4"/>
    <w:rsid w:val="72C475CC"/>
    <w:rsid w:val="73050291"/>
    <w:rsid w:val="7312DD15"/>
    <w:rsid w:val="735A73C9"/>
    <w:rsid w:val="73BDDA99"/>
    <w:rsid w:val="73E26720"/>
    <w:rsid w:val="741B3768"/>
    <w:rsid w:val="74523829"/>
    <w:rsid w:val="74B1A85B"/>
    <w:rsid w:val="74E1BD50"/>
    <w:rsid w:val="74F79E1A"/>
    <w:rsid w:val="7500B1D4"/>
    <w:rsid w:val="75934F3C"/>
    <w:rsid w:val="75A3866B"/>
    <w:rsid w:val="762C5BAE"/>
    <w:rsid w:val="7630F85C"/>
    <w:rsid w:val="766B0122"/>
    <w:rsid w:val="7693DF5F"/>
    <w:rsid w:val="76DD1A44"/>
    <w:rsid w:val="776B7F4E"/>
    <w:rsid w:val="7804994F"/>
    <w:rsid w:val="7817A507"/>
    <w:rsid w:val="78234A6C"/>
    <w:rsid w:val="78639574"/>
    <w:rsid w:val="786DC3E3"/>
    <w:rsid w:val="78B6D423"/>
    <w:rsid w:val="78D15F94"/>
    <w:rsid w:val="78EED883"/>
    <w:rsid w:val="79308AFE"/>
    <w:rsid w:val="793F5F41"/>
    <w:rsid w:val="79AA18F5"/>
    <w:rsid w:val="79AD979D"/>
    <w:rsid w:val="79D63AFA"/>
    <w:rsid w:val="7A322EF8"/>
    <w:rsid w:val="7A352BD8"/>
    <w:rsid w:val="7A9CF551"/>
    <w:rsid w:val="7AAEA76C"/>
    <w:rsid w:val="7BB70FA2"/>
    <w:rsid w:val="7C364806"/>
    <w:rsid w:val="7C5B1CC5"/>
    <w:rsid w:val="7C66500B"/>
    <w:rsid w:val="7C8F0791"/>
    <w:rsid w:val="7CA58796"/>
    <w:rsid w:val="7D2F1944"/>
    <w:rsid w:val="7D39A83B"/>
    <w:rsid w:val="7D6CEC90"/>
    <w:rsid w:val="7DA89621"/>
    <w:rsid w:val="7DAC6FA4"/>
    <w:rsid w:val="7DBADE61"/>
    <w:rsid w:val="7DD48809"/>
    <w:rsid w:val="7DED619F"/>
    <w:rsid w:val="7E02711E"/>
    <w:rsid w:val="7F3D23C7"/>
    <w:rsid w:val="7F4C72C9"/>
    <w:rsid w:val="7F69C934"/>
    <w:rsid w:val="7F939FC6"/>
    <w:rsid w:val="7F9C297F"/>
    <w:rsid w:val="7FBEF237"/>
    <w:rsid w:val="7FFAA5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3F74B7"/>
  <w15:docId w15:val="{19E29AA0-3BD8-4BF7-BA2E-DED785A8F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05D"/>
    <w:pPr>
      <w:suppressAutoHyphens/>
      <w:spacing w:after="0" w:line="240" w:lineRule="auto"/>
      <w:contextualSpacing/>
      <w:jc w:val="both"/>
    </w:pPr>
    <w:rPr>
      <w:rFonts w:ascii="Chronicle Text G1" w:hAnsi="Chronicle Text G1"/>
      <w:color w:val="00000A"/>
      <w:sz w:val="21"/>
      <w:lang w:val="en-CA"/>
    </w:rPr>
  </w:style>
  <w:style w:type="paragraph" w:styleId="Heading2">
    <w:name w:val="heading 2"/>
    <w:basedOn w:val="Normal"/>
    <w:next w:val="Normal"/>
    <w:link w:val="Heading2Char"/>
    <w:uiPriority w:val="9"/>
    <w:unhideWhenUsed/>
    <w:qFormat/>
    <w:rsid w:val="005F20D2"/>
    <w:pPr>
      <w:spacing w:after="200"/>
      <w:outlineLvl w:val="1"/>
    </w:pPr>
    <w:rPr>
      <w:rFonts w:asciiTheme="majorBidi" w:hAnsiTheme="majorBidi" w:cstheme="majorBidi"/>
      <w:b/>
      <w:bCs/>
      <w:i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TextChar">
    <w:name w:val="Endnote Text Char"/>
    <w:basedOn w:val="DefaultParagraphFont"/>
    <w:link w:val="EndnoteText"/>
    <w:uiPriority w:val="99"/>
    <w:qFormat/>
    <w:rsid w:val="00F1405D"/>
    <w:rPr>
      <w:rFonts w:ascii="Chronicle Text G1" w:hAnsi="Chronicle Text G1"/>
      <w:sz w:val="20"/>
      <w:szCs w:val="20"/>
    </w:rPr>
  </w:style>
  <w:style w:type="character" w:styleId="EndnoteReference">
    <w:name w:val="endnote reference"/>
    <w:basedOn w:val="DefaultParagraphFont"/>
    <w:uiPriority w:val="99"/>
    <w:unhideWhenUsed/>
    <w:qFormat/>
    <w:rsid w:val="00F1405D"/>
    <w:rPr>
      <w:vertAlign w:val="superscript"/>
    </w:rPr>
  </w:style>
  <w:style w:type="character" w:customStyle="1" w:styleId="ListParagraphChar">
    <w:name w:val="List Paragraph Char"/>
    <w:basedOn w:val="DefaultParagraphFont"/>
    <w:link w:val="ListParagraph"/>
    <w:uiPriority w:val="34"/>
    <w:qFormat/>
    <w:rsid w:val="00F1405D"/>
    <w:rPr>
      <w:rFonts w:ascii="Chronicle Text G1" w:hAnsi="Chronicle Text G1"/>
      <w:sz w:val="21"/>
    </w:rPr>
  </w:style>
  <w:style w:type="paragraph" w:styleId="ListParagraph">
    <w:name w:val="List Paragraph"/>
    <w:basedOn w:val="Normal"/>
    <w:link w:val="ListParagraphChar"/>
    <w:uiPriority w:val="34"/>
    <w:qFormat/>
    <w:rsid w:val="00F1405D"/>
    <w:pPr>
      <w:spacing w:before="240" w:after="240"/>
    </w:pPr>
    <w:rPr>
      <w:color w:val="auto"/>
      <w:lang w:val="en-US"/>
    </w:rPr>
  </w:style>
  <w:style w:type="paragraph" w:styleId="EndnoteText">
    <w:name w:val="endnote text"/>
    <w:basedOn w:val="Normal"/>
    <w:link w:val="EndnoteTextChar"/>
    <w:uiPriority w:val="99"/>
    <w:unhideWhenUsed/>
    <w:qFormat/>
    <w:rsid w:val="00F1405D"/>
    <w:pPr>
      <w:spacing w:before="240" w:after="240"/>
    </w:pPr>
    <w:rPr>
      <w:color w:val="auto"/>
      <w:sz w:val="20"/>
      <w:szCs w:val="20"/>
      <w:lang w:val="en-US"/>
    </w:rPr>
  </w:style>
  <w:style w:type="character" w:customStyle="1" w:styleId="EndnoteTextChar1">
    <w:name w:val="Endnote Text Char1"/>
    <w:basedOn w:val="DefaultParagraphFont"/>
    <w:uiPriority w:val="99"/>
    <w:semiHidden/>
    <w:rsid w:val="00F1405D"/>
    <w:rPr>
      <w:rFonts w:ascii="Chronicle Text G1" w:hAnsi="Chronicle Text G1"/>
      <w:color w:val="00000A"/>
      <w:sz w:val="20"/>
      <w:szCs w:val="20"/>
      <w:lang w:val="en-CA"/>
    </w:rPr>
  </w:style>
  <w:style w:type="table" w:customStyle="1" w:styleId="TableGrid2">
    <w:name w:val="Table Grid2"/>
    <w:basedOn w:val="TableNormal"/>
    <w:next w:val="TableGrid"/>
    <w:uiPriority w:val="39"/>
    <w:rsid w:val="00F140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140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17141"/>
    <w:rPr>
      <w:sz w:val="16"/>
      <w:szCs w:val="16"/>
    </w:rPr>
  </w:style>
  <w:style w:type="paragraph" w:styleId="CommentText">
    <w:name w:val="annotation text"/>
    <w:basedOn w:val="Normal"/>
    <w:link w:val="CommentTextChar"/>
    <w:uiPriority w:val="99"/>
    <w:unhideWhenUsed/>
    <w:rsid w:val="00517141"/>
    <w:rPr>
      <w:sz w:val="20"/>
      <w:szCs w:val="20"/>
    </w:rPr>
  </w:style>
  <w:style w:type="character" w:customStyle="1" w:styleId="CommentTextChar">
    <w:name w:val="Comment Text Char"/>
    <w:basedOn w:val="DefaultParagraphFont"/>
    <w:link w:val="CommentText"/>
    <w:uiPriority w:val="99"/>
    <w:rsid w:val="00517141"/>
    <w:rPr>
      <w:rFonts w:ascii="Chronicle Text G1" w:hAnsi="Chronicle Text G1"/>
      <w:color w:val="00000A"/>
      <w:sz w:val="20"/>
      <w:szCs w:val="20"/>
      <w:lang w:val="en-CA"/>
    </w:rPr>
  </w:style>
  <w:style w:type="paragraph" w:styleId="CommentSubject">
    <w:name w:val="annotation subject"/>
    <w:basedOn w:val="CommentText"/>
    <w:next w:val="CommentText"/>
    <w:link w:val="CommentSubjectChar"/>
    <w:uiPriority w:val="99"/>
    <w:semiHidden/>
    <w:unhideWhenUsed/>
    <w:rsid w:val="00517141"/>
    <w:rPr>
      <w:b/>
      <w:bCs/>
    </w:rPr>
  </w:style>
  <w:style w:type="character" w:customStyle="1" w:styleId="CommentSubjectChar">
    <w:name w:val="Comment Subject Char"/>
    <w:basedOn w:val="CommentTextChar"/>
    <w:link w:val="CommentSubject"/>
    <w:uiPriority w:val="99"/>
    <w:semiHidden/>
    <w:rsid w:val="00517141"/>
    <w:rPr>
      <w:rFonts w:ascii="Chronicle Text G1" w:hAnsi="Chronicle Text G1"/>
      <w:b/>
      <w:bCs/>
      <w:color w:val="00000A"/>
      <w:sz w:val="20"/>
      <w:szCs w:val="20"/>
      <w:lang w:val="en-CA"/>
    </w:rPr>
  </w:style>
  <w:style w:type="paragraph" w:styleId="BalloonText">
    <w:name w:val="Balloon Text"/>
    <w:basedOn w:val="Normal"/>
    <w:link w:val="BalloonTextChar"/>
    <w:uiPriority w:val="99"/>
    <w:semiHidden/>
    <w:unhideWhenUsed/>
    <w:rsid w:val="00517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7141"/>
    <w:rPr>
      <w:rFonts w:ascii="Segoe UI" w:hAnsi="Segoe UI" w:cs="Segoe UI"/>
      <w:color w:val="00000A"/>
      <w:sz w:val="18"/>
      <w:szCs w:val="18"/>
      <w:lang w:val="en-CA"/>
    </w:rPr>
  </w:style>
  <w:style w:type="paragraph" w:styleId="NoSpacing">
    <w:name w:val="No Spacing"/>
    <w:uiPriority w:val="1"/>
    <w:qFormat/>
    <w:rsid w:val="00FE7F8B"/>
    <w:pPr>
      <w:suppressAutoHyphens/>
      <w:spacing w:after="0" w:line="240" w:lineRule="auto"/>
      <w:contextualSpacing/>
      <w:jc w:val="both"/>
    </w:pPr>
    <w:rPr>
      <w:rFonts w:ascii="Chronicle Text G1" w:hAnsi="Chronicle Text G1"/>
      <w:color w:val="00000A"/>
      <w:sz w:val="21"/>
      <w:lang w:val="en-CA"/>
    </w:rPr>
  </w:style>
  <w:style w:type="paragraph" w:customStyle="1" w:styleId="Default">
    <w:name w:val="Default"/>
    <w:rsid w:val="002338D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3720C8"/>
    <w:pPr>
      <w:tabs>
        <w:tab w:val="center" w:pos="4680"/>
        <w:tab w:val="right" w:pos="9360"/>
      </w:tabs>
    </w:pPr>
  </w:style>
  <w:style w:type="character" w:customStyle="1" w:styleId="HeaderChar">
    <w:name w:val="Header Char"/>
    <w:basedOn w:val="DefaultParagraphFont"/>
    <w:link w:val="Header"/>
    <w:uiPriority w:val="99"/>
    <w:rsid w:val="003720C8"/>
    <w:rPr>
      <w:rFonts w:ascii="Chronicle Text G1" w:hAnsi="Chronicle Text G1"/>
      <w:color w:val="00000A"/>
      <w:sz w:val="21"/>
      <w:lang w:val="en-CA"/>
    </w:rPr>
  </w:style>
  <w:style w:type="paragraph" w:styleId="Footer">
    <w:name w:val="footer"/>
    <w:basedOn w:val="Normal"/>
    <w:link w:val="FooterChar"/>
    <w:uiPriority w:val="99"/>
    <w:unhideWhenUsed/>
    <w:rsid w:val="003720C8"/>
    <w:pPr>
      <w:tabs>
        <w:tab w:val="center" w:pos="4680"/>
        <w:tab w:val="right" w:pos="9360"/>
      </w:tabs>
    </w:pPr>
  </w:style>
  <w:style w:type="character" w:customStyle="1" w:styleId="FooterChar">
    <w:name w:val="Footer Char"/>
    <w:basedOn w:val="DefaultParagraphFont"/>
    <w:link w:val="Footer"/>
    <w:uiPriority w:val="99"/>
    <w:rsid w:val="003720C8"/>
    <w:rPr>
      <w:rFonts w:ascii="Chronicle Text G1" w:hAnsi="Chronicle Text G1"/>
      <w:color w:val="00000A"/>
      <w:sz w:val="21"/>
      <w:lang w:val="en-CA"/>
    </w:rPr>
  </w:style>
  <w:style w:type="paragraph" w:styleId="FootnoteText">
    <w:name w:val="footnote text"/>
    <w:basedOn w:val="Normal"/>
    <w:link w:val="FootnoteTextChar"/>
    <w:uiPriority w:val="99"/>
    <w:semiHidden/>
    <w:unhideWhenUsed/>
    <w:rsid w:val="00DA0099"/>
    <w:rPr>
      <w:sz w:val="20"/>
      <w:szCs w:val="20"/>
    </w:rPr>
  </w:style>
  <w:style w:type="character" w:customStyle="1" w:styleId="FootnoteTextChar">
    <w:name w:val="Footnote Text Char"/>
    <w:basedOn w:val="DefaultParagraphFont"/>
    <w:link w:val="FootnoteText"/>
    <w:uiPriority w:val="99"/>
    <w:semiHidden/>
    <w:rsid w:val="00DA0099"/>
    <w:rPr>
      <w:rFonts w:ascii="Chronicle Text G1" w:hAnsi="Chronicle Text G1"/>
      <w:color w:val="00000A"/>
      <w:sz w:val="20"/>
      <w:szCs w:val="20"/>
      <w:lang w:val="en-CA"/>
    </w:rPr>
  </w:style>
  <w:style w:type="character" w:styleId="FootnoteReference">
    <w:name w:val="footnote reference"/>
    <w:basedOn w:val="DefaultParagraphFont"/>
    <w:uiPriority w:val="99"/>
    <w:semiHidden/>
    <w:unhideWhenUsed/>
    <w:rsid w:val="00DA0099"/>
    <w:rPr>
      <w:vertAlign w:val="superscript"/>
    </w:rPr>
  </w:style>
  <w:style w:type="character" w:styleId="Hyperlink">
    <w:name w:val="Hyperlink"/>
    <w:basedOn w:val="DefaultParagraphFont"/>
    <w:uiPriority w:val="99"/>
    <w:unhideWhenUsed/>
    <w:rsid w:val="007C3E19"/>
    <w:rPr>
      <w:color w:val="0563C1" w:themeColor="hyperlink"/>
      <w:u w:val="single"/>
    </w:rPr>
  </w:style>
  <w:style w:type="character" w:customStyle="1" w:styleId="Bodytext285pt">
    <w:name w:val="Body text (2) + 8.5 pt"/>
    <w:aliases w:val="Bold"/>
    <w:basedOn w:val="DefaultParagraphFont"/>
    <w:rsid w:val="00B232F3"/>
    <w:rPr>
      <w:rFonts w:ascii="Arial" w:eastAsia="Arial" w:hAnsi="Arial" w:cs="Arial"/>
      <w:b/>
      <w:bCs/>
      <w:i w:val="0"/>
      <w:iCs w:val="0"/>
      <w:smallCaps w:val="0"/>
      <w:strike w:val="0"/>
      <w:color w:val="000000"/>
      <w:spacing w:val="0"/>
      <w:w w:val="100"/>
      <w:position w:val="0"/>
      <w:sz w:val="17"/>
      <w:szCs w:val="17"/>
      <w:u w:val="none"/>
      <w:lang w:val="en-US" w:eastAsia="en-US" w:bidi="en-US"/>
    </w:rPr>
  </w:style>
  <w:style w:type="table" w:styleId="MediumShading2">
    <w:name w:val="Medium Shading 2"/>
    <w:basedOn w:val="TableNormal"/>
    <w:uiPriority w:val="64"/>
    <w:rsid w:val="00B232F3"/>
    <w:pPr>
      <w:spacing w:after="0" w:line="240" w:lineRule="auto"/>
    </w:pPr>
    <w:rPr>
      <w:lang w:val="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2Char">
    <w:name w:val="Heading 2 Char"/>
    <w:basedOn w:val="DefaultParagraphFont"/>
    <w:link w:val="Heading2"/>
    <w:uiPriority w:val="9"/>
    <w:rsid w:val="005F20D2"/>
    <w:rPr>
      <w:rFonts w:asciiTheme="majorBidi" w:hAnsiTheme="majorBidi" w:cstheme="majorBidi"/>
      <w:b/>
      <w:bCs/>
      <w:iCs/>
      <w:color w:val="00000A"/>
      <w:sz w:val="24"/>
      <w:szCs w:val="24"/>
      <w:u w:val="single"/>
      <w:lang w:val="en-CA"/>
    </w:rPr>
  </w:style>
  <w:style w:type="paragraph" w:styleId="Revision">
    <w:name w:val="Revision"/>
    <w:hidden/>
    <w:uiPriority w:val="99"/>
    <w:semiHidden/>
    <w:rsid w:val="00EB3C3A"/>
    <w:pPr>
      <w:spacing w:after="0" w:line="240" w:lineRule="auto"/>
    </w:pPr>
    <w:rPr>
      <w:rFonts w:ascii="Chronicle Text G1" w:hAnsi="Chronicle Text G1"/>
      <w:color w:val="00000A"/>
      <w:sz w:val="21"/>
      <w:lang w:val="en-CA"/>
    </w:rPr>
  </w:style>
  <w:style w:type="character" w:styleId="Mention">
    <w:name w:val="Mention"/>
    <w:basedOn w:val="DefaultParagraphFont"/>
    <w:uiPriority w:val="99"/>
    <w:unhideWhenUsed/>
    <w:rsid w:val="00212CB8"/>
    <w:rPr>
      <w:color w:val="2B579A"/>
      <w:shd w:val="clear" w:color="auto" w:fill="E1DFDD"/>
    </w:rPr>
  </w:style>
  <w:style w:type="character" w:styleId="UnresolvedMention">
    <w:name w:val="Unresolved Mention"/>
    <w:basedOn w:val="DefaultParagraphFont"/>
    <w:uiPriority w:val="99"/>
    <w:semiHidden/>
    <w:unhideWhenUsed/>
    <w:rsid w:val="00165814"/>
    <w:rPr>
      <w:color w:val="605E5C"/>
      <w:shd w:val="clear" w:color="auto" w:fill="E1DFDD"/>
    </w:rPr>
  </w:style>
  <w:style w:type="character" w:styleId="FollowedHyperlink">
    <w:name w:val="FollowedHyperlink"/>
    <w:basedOn w:val="DefaultParagraphFont"/>
    <w:uiPriority w:val="99"/>
    <w:semiHidden/>
    <w:unhideWhenUsed/>
    <w:rsid w:val="00085E6F"/>
    <w:rPr>
      <w:color w:val="954F72" w:themeColor="followedHyperlink"/>
      <w:u w:val="single"/>
    </w:rPr>
  </w:style>
  <w:style w:type="paragraph" w:styleId="NormalWeb">
    <w:name w:val="Normal (Web)"/>
    <w:basedOn w:val="Normal"/>
    <w:uiPriority w:val="99"/>
    <w:semiHidden/>
    <w:unhideWhenUsed/>
    <w:rsid w:val="0055479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72353">
      <w:bodyDiv w:val="1"/>
      <w:marLeft w:val="0"/>
      <w:marRight w:val="0"/>
      <w:marTop w:val="0"/>
      <w:marBottom w:val="0"/>
      <w:divBdr>
        <w:top w:val="none" w:sz="0" w:space="0" w:color="auto"/>
        <w:left w:val="none" w:sz="0" w:space="0" w:color="auto"/>
        <w:bottom w:val="none" w:sz="0" w:space="0" w:color="auto"/>
        <w:right w:val="none" w:sz="0" w:space="0" w:color="auto"/>
      </w:divBdr>
    </w:div>
    <w:div w:id="397242484">
      <w:bodyDiv w:val="1"/>
      <w:marLeft w:val="0"/>
      <w:marRight w:val="0"/>
      <w:marTop w:val="0"/>
      <w:marBottom w:val="0"/>
      <w:divBdr>
        <w:top w:val="none" w:sz="0" w:space="0" w:color="auto"/>
        <w:left w:val="none" w:sz="0" w:space="0" w:color="auto"/>
        <w:bottom w:val="none" w:sz="0" w:space="0" w:color="auto"/>
        <w:right w:val="none" w:sz="0" w:space="0" w:color="auto"/>
      </w:divBdr>
    </w:div>
    <w:div w:id="426729337">
      <w:bodyDiv w:val="1"/>
      <w:marLeft w:val="0"/>
      <w:marRight w:val="0"/>
      <w:marTop w:val="0"/>
      <w:marBottom w:val="0"/>
      <w:divBdr>
        <w:top w:val="none" w:sz="0" w:space="0" w:color="auto"/>
        <w:left w:val="none" w:sz="0" w:space="0" w:color="auto"/>
        <w:bottom w:val="none" w:sz="0" w:space="0" w:color="auto"/>
        <w:right w:val="none" w:sz="0" w:space="0" w:color="auto"/>
      </w:divBdr>
    </w:div>
    <w:div w:id="796411210">
      <w:bodyDiv w:val="1"/>
      <w:marLeft w:val="0"/>
      <w:marRight w:val="0"/>
      <w:marTop w:val="0"/>
      <w:marBottom w:val="0"/>
      <w:divBdr>
        <w:top w:val="none" w:sz="0" w:space="0" w:color="auto"/>
        <w:left w:val="none" w:sz="0" w:space="0" w:color="auto"/>
        <w:bottom w:val="none" w:sz="0" w:space="0" w:color="auto"/>
        <w:right w:val="none" w:sz="0" w:space="0" w:color="auto"/>
      </w:divBdr>
    </w:div>
    <w:div w:id="1578784800">
      <w:bodyDiv w:val="1"/>
      <w:marLeft w:val="0"/>
      <w:marRight w:val="0"/>
      <w:marTop w:val="0"/>
      <w:marBottom w:val="0"/>
      <w:divBdr>
        <w:top w:val="none" w:sz="0" w:space="0" w:color="auto"/>
        <w:left w:val="none" w:sz="0" w:space="0" w:color="auto"/>
        <w:bottom w:val="none" w:sz="0" w:space="0" w:color="auto"/>
        <w:right w:val="none" w:sz="0" w:space="0" w:color="auto"/>
      </w:divBdr>
    </w:div>
    <w:div w:id="1879777678">
      <w:bodyDiv w:val="1"/>
      <w:marLeft w:val="0"/>
      <w:marRight w:val="0"/>
      <w:marTop w:val="0"/>
      <w:marBottom w:val="0"/>
      <w:divBdr>
        <w:top w:val="none" w:sz="0" w:space="0" w:color="auto"/>
        <w:left w:val="none" w:sz="0" w:space="0" w:color="auto"/>
        <w:bottom w:val="none" w:sz="0" w:space="0" w:color="auto"/>
        <w:right w:val="none" w:sz="0" w:space="0" w:color="auto"/>
      </w:divBdr>
    </w:div>
    <w:div w:id="1971201797">
      <w:bodyDiv w:val="1"/>
      <w:marLeft w:val="0"/>
      <w:marRight w:val="0"/>
      <w:marTop w:val="0"/>
      <w:marBottom w:val="0"/>
      <w:divBdr>
        <w:top w:val="none" w:sz="0" w:space="0" w:color="auto"/>
        <w:left w:val="none" w:sz="0" w:space="0" w:color="auto"/>
        <w:bottom w:val="none" w:sz="0" w:space="0" w:color="auto"/>
        <w:right w:val="none" w:sz="0" w:space="0" w:color="auto"/>
      </w:divBdr>
    </w:div>
    <w:div w:id="2047484710">
      <w:bodyDiv w:val="1"/>
      <w:marLeft w:val="0"/>
      <w:marRight w:val="0"/>
      <w:marTop w:val="0"/>
      <w:marBottom w:val="0"/>
      <w:divBdr>
        <w:top w:val="none" w:sz="0" w:space="0" w:color="auto"/>
        <w:left w:val="none" w:sz="0" w:space="0" w:color="auto"/>
        <w:bottom w:val="none" w:sz="0" w:space="0" w:color="auto"/>
        <w:right w:val="none" w:sz="0" w:space="0" w:color="auto"/>
      </w:divBdr>
      <w:divsChild>
        <w:div w:id="1926303108">
          <w:marLeft w:val="0"/>
          <w:marRight w:val="0"/>
          <w:marTop w:val="0"/>
          <w:marBottom w:val="0"/>
          <w:divBdr>
            <w:top w:val="none" w:sz="0" w:space="0" w:color="auto"/>
            <w:left w:val="none" w:sz="0" w:space="0" w:color="auto"/>
            <w:bottom w:val="none" w:sz="0" w:space="0" w:color="auto"/>
            <w:right w:val="none" w:sz="0" w:space="0" w:color="auto"/>
          </w:divBdr>
          <w:divsChild>
            <w:div w:id="679426922">
              <w:marLeft w:val="0"/>
              <w:marRight w:val="0"/>
              <w:marTop w:val="0"/>
              <w:marBottom w:val="0"/>
              <w:divBdr>
                <w:top w:val="none" w:sz="0" w:space="0" w:color="auto"/>
                <w:left w:val="none" w:sz="0" w:space="0" w:color="auto"/>
                <w:bottom w:val="none" w:sz="0" w:space="0" w:color="auto"/>
                <w:right w:val="none" w:sz="0" w:space="0" w:color="auto"/>
              </w:divBdr>
              <w:divsChild>
                <w:div w:id="1016620190">
                  <w:marLeft w:val="0"/>
                  <w:marRight w:val="0"/>
                  <w:marTop w:val="0"/>
                  <w:marBottom w:val="0"/>
                  <w:divBdr>
                    <w:top w:val="none" w:sz="0" w:space="0" w:color="auto"/>
                    <w:left w:val="none" w:sz="0" w:space="0" w:color="auto"/>
                    <w:bottom w:val="none" w:sz="0" w:space="0" w:color="auto"/>
                    <w:right w:val="none" w:sz="0" w:space="0" w:color="auto"/>
                  </w:divBdr>
                  <w:divsChild>
                    <w:div w:id="95175009">
                      <w:marLeft w:val="0"/>
                      <w:marRight w:val="0"/>
                      <w:marTop w:val="0"/>
                      <w:marBottom w:val="0"/>
                      <w:divBdr>
                        <w:top w:val="none" w:sz="0" w:space="0" w:color="auto"/>
                        <w:left w:val="none" w:sz="0" w:space="0" w:color="auto"/>
                        <w:bottom w:val="none" w:sz="0" w:space="0" w:color="auto"/>
                        <w:right w:val="none" w:sz="0" w:space="0" w:color="auto"/>
                      </w:divBdr>
                      <w:divsChild>
                        <w:div w:id="630474287">
                          <w:marLeft w:val="0"/>
                          <w:marRight w:val="0"/>
                          <w:marTop w:val="0"/>
                          <w:marBottom w:val="0"/>
                          <w:divBdr>
                            <w:top w:val="none" w:sz="0" w:space="0" w:color="auto"/>
                            <w:left w:val="none" w:sz="0" w:space="0" w:color="auto"/>
                            <w:bottom w:val="none" w:sz="0" w:space="0" w:color="auto"/>
                            <w:right w:val="none" w:sz="0" w:space="0" w:color="auto"/>
                          </w:divBdr>
                          <w:divsChild>
                            <w:div w:id="595333362">
                              <w:marLeft w:val="0"/>
                              <w:marRight w:val="0"/>
                              <w:marTop w:val="0"/>
                              <w:marBottom w:val="0"/>
                              <w:divBdr>
                                <w:top w:val="none" w:sz="0" w:space="0" w:color="auto"/>
                                <w:left w:val="none" w:sz="0" w:space="0" w:color="auto"/>
                                <w:bottom w:val="none" w:sz="0" w:space="0" w:color="auto"/>
                                <w:right w:val="none" w:sz="0" w:space="0" w:color="auto"/>
                              </w:divBdr>
                              <w:divsChild>
                                <w:div w:id="1721979173">
                                  <w:marLeft w:val="0"/>
                                  <w:marRight w:val="0"/>
                                  <w:marTop w:val="0"/>
                                  <w:marBottom w:val="0"/>
                                  <w:divBdr>
                                    <w:top w:val="none" w:sz="0" w:space="0" w:color="auto"/>
                                    <w:left w:val="none" w:sz="0" w:space="0" w:color="auto"/>
                                    <w:bottom w:val="none" w:sz="0" w:space="0" w:color="auto"/>
                                    <w:right w:val="none" w:sz="0" w:space="0" w:color="auto"/>
                                  </w:divBdr>
                                  <w:divsChild>
                                    <w:div w:id="1873419552">
                                      <w:marLeft w:val="0"/>
                                      <w:marRight w:val="0"/>
                                      <w:marTop w:val="0"/>
                                      <w:marBottom w:val="0"/>
                                      <w:divBdr>
                                        <w:top w:val="none" w:sz="0" w:space="0" w:color="auto"/>
                                        <w:left w:val="none" w:sz="0" w:space="0" w:color="auto"/>
                                        <w:bottom w:val="none" w:sz="0" w:space="0" w:color="auto"/>
                                        <w:right w:val="none" w:sz="0" w:space="0" w:color="auto"/>
                                      </w:divBdr>
                                      <w:divsChild>
                                        <w:div w:id="1586306526">
                                          <w:marLeft w:val="0"/>
                                          <w:marRight w:val="0"/>
                                          <w:marTop w:val="0"/>
                                          <w:marBottom w:val="0"/>
                                          <w:divBdr>
                                            <w:top w:val="none" w:sz="0" w:space="0" w:color="auto"/>
                                            <w:left w:val="none" w:sz="0" w:space="0" w:color="auto"/>
                                            <w:bottom w:val="none" w:sz="0" w:space="0" w:color="auto"/>
                                            <w:right w:val="none" w:sz="0" w:space="0" w:color="auto"/>
                                          </w:divBdr>
                                          <w:divsChild>
                                            <w:div w:id="1472943799">
                                              <w:marLeft w:val="0"/>
                                              <w:marRight w:val="0"/>
                                              <w:marTop w:val="0"/>
                                              <w:marBottom w:val="0"/>
                                              <w:divBdr>
                                                <w:top w:val="none" w:sz="0" w:space="0" w:color="auto"/>
                                                <w:left w:val="none" w:sz="0" w:space="0" w:color="auto"/>
                                                <w:bottom w:val="none" w:sz="0" w:space="0" w:color="auto"/>
                                                <w:right w:val="none" w:sz="0" w:space="0" w:color="auto"/>
                                              </w:divBdr>
                                              <w:divsChild>
                                                <w:div w:id="1553617111">
                                                  <w:marLeft w:val="0"/>
                                                  <w:marRight w:val="0"/>
                                                  <w:marTop w:val="0"/>
                                                  <w:marBottom w:val="0"/>
                                                  <w:divBdr>
                                                    <w:top w:val="none" w:sz="0" w:space="0" w:color="auto"/>
                                                    <w:left w:val="none" w:sz="0" w:space="0" w:color="auto"/>
                                                    <w:bottom w:val="none" w:sz="0" w:space="0" w:color="auto"/>
                                                    <w:right w:val="none" w:sz="0" w:space="0" w:color="auto"/>
                                                  </w:divBdr>
                                                  <w:divsChild>
                                                    <w:div w:id="1638144501">
                                                      <w:marLeft w:val="0"/>
                                                      <w:marRight w:val="0"/>
                                                      <w:marTop w:val="0"/>
                                                      <w:marBottom w:val="0"/>
                                                      <w:divBdr>
                                                        <w:top w:val="none" w:sz="0" w:space="0" w:color="auto"/>
                                                        <w:left w:val="none" w:sz="0" w:space="0" w:color="auto"/>
                                                        <w:bottom w:val="none" w:sz="0" w:space="0" w:color="auto"/>
                                                        <w:right w:val="none" w:sz="0" w:space="0" w:color="auto"/>
                                                      </w:divBdr>
                                                      <w:divsChild>
                                                        <w:div w:id="159142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vethechildren1-my.sharepoint.com/:f:/g/personal/anderson_pierre_savethechildren_org/Eo6eehJo0XRBsPkRCSCiqQkBUYBm0wjc5Aq9apgcVhyyxg?email=fadson.israel%40savethechildren.org&amp;e=qYtlyg" TargetMode="Externa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A3EB14C5-E973-4A07-8F9B-063357E199C0}">
    <t:Anchor>
      <t:Comment id="719748669"/>
    </t:Anchor>
    <t:History>
      <t:Event id="{E2E40F38-AEAA-4B0C-9635-8BD41733923B}" time="2024-12-03T02:14:38.16Z">
        <t:Attribution userId="S::fadson.israel@savethechildren.org::d0256520-f5c5-49ea-b2f4-5ec67c0edb34" userProvider="AD" userName="Israel, Fadson"/>
        <t:Anchor>
          <t:Comment id="470432660"/>
        </t:Anchor>
        <t:Create/>
      </t:Event>
      <t:Event id="{DF73B44E-BA61-4E16-9E5A-2DA1EA7BC652}" time="2024-12-03T02:14:38.16Z">
        <t:Attribution userId="S::fadson.israel@savethechildren.org::d0256520-f5c5-49ea-b2f4-5ec67c0edb34" userProvider="AD" userName="Israel, Fadson"/>
        <t:Anchor>
          <t:Comment id="470432660"/>
        </t:Anchor>
        <t:Assign userId="S::marionette.colas@savethechildren.org::f0d08ed9-a03e-416e-81fa-72f393d74dbf" userProvider="AD" userName="Colas, Marionette"/>
      </t:Event>
      <t:Event id="{12A3329F-C8EF-4844-9971-685BFA3BB1E5}" time="2024-12-03T02:14:38.16Z">
        <t:Attribution userId="S::fadson.israel@savethechildren.org::d0256520-f5c5-49ea-b2f4-5ec67c0edb34" userProvider="AD" userName="Israel, Fadson"/>
        <t:Anchor>
          <t:Comment id="470432660"/>
        </t:Anchor>
        <t:SetTitle title="@Colas, Marionette"/>
      </t:Event>
    </t:History>
  </t:Task>
  <t:Task id="{A40AA2C0-E9B1-4E7F-B6E4-640F796DCD1A}">
    <t:Anchor>
      <t:Comment id="1499207397"/>
    </t:Anchor>
    <t:History>
      <t:Event id="{1B93F5A4-7A6F-4B07-A829-C1A5D68C801B}" time="2025-01-02T22:00:42.937Z">
        <t:Attribution userId="S::fadson.israel@savethechildren.org::d0256520-f5c5-49ea-b2f4-5ec67c0edb34" userProvider="AD" userName="Israel, Fadson"/>
        <t:Anchor>
          <t:Comment id="143498586"/>
        </t:Anchor>
        <t:Create/>
      </t:Event>
      <t:Event id="{48D0F2DB-D1F6-47F6-9EF6-66DB7E242BEE}" time="2025-01-02T22:00:42.937Z">
        <t:Attribution userId="S::fadson.israel@savethechildren.org::d0256520-f5c5-49ea-b2f4-5ec67c0edb34" userProvider="AD" userName="Israel, Fadson"/>
        <t:Anchor>
          <t:Comment id="143498586"/>
        </t:Anchor>
        <t:Assign userId="S::anderson.pierre@savethechildren.org::4294358f-c534-402a-86aa-9f85771ff22a" userProvider="AD" userName="Pierre, Anderson"/>
      </t:Event>
      <t:Event id="{5953A0E5-9256-4C6B-A024-887D0E6B6C58}" time="2025-01-02T22:00:42.937Z">
        <t:Attribution userId="S::fadson.israel@savethechildren.org::d0256520-f5c5-49ea-b2f4-5ec67c0edb34" userProvider="AD" userName="Israel, Fadson"/>
        <t:Anchor>
          <t:Comment id="143498586"/>
        </t:Anchor>
        <t:SetTitle title="@Pierre, Anderson please tu peux assurer ce suivi, on doit soumettre demain apres midi. Merci deja de ton support"/>
      </t:Event>
    </t:History>
  </t:Task>
  <t:Task id="{A6931AD4-9D5C-4B75-B262-E6260262A24A}">
    <t:Anchor>
      <t:Comment id="2085195975"/>
    </t:Anchor>
    <t:History>
      <t:Event id="{0B7FDB8B-3DE8-46CD-881E-DD5A904B1A02}" time="2025-01-06T18:01:49.143Z">
        <t:Attribution userId="S::margherita.fanchiotti@savethechildren.org::7955f876-d2cc-46d1-aa1c-4fa51bb0a94c" userProvider="AD" userName="Fanchiotti, Margherita"/>
        <t:Anchor>
          <t:Comment id="2085195975"/>
        </t:Anchor>
        <t:Create/>
      </t:Event>
      <t:Event id="{1FEF49C8-565F-48F1-901F-735B72CBEBA8}" time="2025-01-06T18:01:49.143Z">
        <t:Attribution userId="S::margherita.fanchiotti@savethechildren.org::7955f876-d2cc-46d1-aa1c-4fa51bb0a94c" userProvider="AD" userName="Fanchiotti, Margherita"/>
        <t:Anchor>
          <t:Comment id="2085195975"/>
        </t:Anchor>
        <t:Assign userId="S::fadson.israel@savethechildren.org::d0256520-f5c5-49ea-b2f4-5ec67c0edb34" userProvider="AD" userName="Israel, Fadson"/>
      </t:Event>
      <t:Event id="{25993C76-702B-4671-98F0-DA259EB81C0A}" time="2025-01-06T18:01:49.143Z">
        <t:Attribution userId="S::margherita.fanchiotti@savethechildren.org::7955f876-d2cc-46d1-aa1c-4fa51bb0a94c" userProvider="AD" userName="Fanchiotti, Margherita"/>
        <t:Anchor>
          <t:Comment id="2085195975"/>
        </t:Anchor>
        <t:SetTitle title="I have rephrased, please check if it is correct @Israel, Fads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C0176416AEBE40A4E52F10F245D77D" ma:contentTypeVersion="22" ma:contentTypeDescription="Een nieuw document maken." ma:contentTypeScope="" ma:versionID="0732972e4e78f3fd1d6566849dcc41c8">
  <xsd:schema xmlns:xsd="http://www.w3.org/2001/XMLSchema" xmlns:xs="http://www.w3.org/2001/XMLSchema" xmlns:p="http://schemas.microsoft.com/office/2006/metadata/properties" xmlns:ns2="68b65867-fa43-4ee5-8d60-e1fdbb097d20" xmlns:ns3="ccb80256-d10e-4995-b59b-64899e92a26b" targetNamespace="http://schemas.microsoft.com/office/2006/metadata/properties" ma:root="true" ma:fieldsID="c06bdcb89db7d0bca94c88c11a41f2a3" ns2:_="" ns3:_="">
    <xsd:import namespace="68b65867-fa43-4ee5-8d60-e1fdbb097d20"/>
    <xsd:import namespace="ccb80256-d10e-4995-b59b-64899e92a26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Opmerkingen" minOccurs="0"/>
                <xsd:element ref="ns2:MediaServiceDateTaken" minOccurs="0"/>
                <xsd:element ref="ns2:MediaServiceLocation" minOccurs="0"/>
                <xsd:element ref="ns2:MediaLengthInSeconds" minOccurs="0"/>
                <xsd:element ref="ns2:lcf76f155ced4ddcb4097134ff3c332f" minOccurs="0"/>
                <xsd:element ref="ns3:TaxCatchAll" minOccurs="0"/>
                <xsd:element ref="ns2:Comment" minOccurs="0"/>
                <xsd:element ref="ns2:Comme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65867-fa43-4ee5-8d60-e1fdbb097d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Opmerkingen" ma:index="18" nillable="true" ma:displayName="Opmerkingen" ma:format="Dropdown" ma:internalName="Opmerkingen">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b23ec234-cbf3-4cc2-a0ae-2bfafc310c72" ma:termSetId="09814cd3-568e-fe90-9814-8d621ff8fb84" ma:anchorId="fba54fb3-c3e1-fe81-a776-ca4b69148c4d" ma:open="true" ma:isKeyword="false">
      <xsd:complexType>
        <xsd:sequence>
          <xsd:element ref="pc:Terms" minOccurs="0" maxOccurs="1"/>
        </xsd:sequence>
      </xsd:complexType>
    </xsd:element>
    <xsd:element name="Comment" ma:index="25" nillable="true" ma:displayName="Comment " ma:format="Dropdown" ma:internalName="Comment">
      <xsd:simpleType>
        <xsd:restriction base="dms:Text">
          <xsd:maxLength value="255"/>
        </xsd:restriction>
      </xsd:simpleType>
    </xsd:element>
    <xsd:element name="Comments" ma:index="26" nillable="true" ma:displayName="Comments" ma:format="Dropdown" ma:internalName="Comments">
      <xsd:simpleType>
        <xsd:restriction base="dms:Note">
          <xsd:maxLength value="255"/>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b80256-d10e-4995-b59b-64899e92a26b"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e7fa0793-ce97-4a46-812f-c9b9298a491a}" ma:internalName="TaxCatchAll" ma:showField="CatchAllData" ma:web="ccb80256-d10e-4995-b59b-64899e92a2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cb80256-d10e-4995-b59b-64899e92a26b" xsi:nil="true"/>
    <lcf76f155ced4ddcb4097134ff3c332f xmlns="68b65867-fa43-4ee5-8d60-e1fdbb097d20">
      <Terms xmlns="http://schemas.microsoft.com/office/infopath/2007/PartnerControls"/>
    </lcf76f155ced4ddcb4097134ff3c332f>
    <Comments xmlns="68b65867-fa43-4ee5-8d60-e1fdbb097d20" xsi:nil="true"/>
    <Opmerkingen xmlns="68b65867-fa43-4ee5-8d60-e1fdbb097d20" xsi:nil="true"/>
    <Comment xmlns="68b65867-fa43-4ee5-8d60-e1fdbb097d2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B5A5D-0FD3-47B3-BCEB-2BF55FA8A25F}"/>
</file>

<file path=customXml/itemProps2.xml><?xml version="1.0" encoding="utf-8"?>
<ds:datastoreItem xmlns:ds="http://schemas.openxmlformats.org/officeDocument/2006/customXml" ds:itemID="{DB82231B-59D9-4817-8553-978CA5552368}">
  <ds:schemaRefs>
    <ds:schemaRef ds:uri="http://schemas.microsoft.com/sharepoint/v3/contenttype/forms"/>
  </ds:schemaRefs>
</ds:datastoreItem>
</file>

<file path=customXml/itemProps3.xml><?xml version="1.0" encoding="utf-8"?>
<ds:datastoreItem xmlns:ds="http://schemas.openxmlformats.org/officeDocument/2006/customXml" ds:itemID="{719E7314-FDDC-4C20-A219-FFB0FF067D3B}">
  <ds:schemaRefs>
    <ds:schemaRef ds:uri="http://schemas.microsoft.com/office/2006/metadata/properties"/>
    <ds:schemaRef ds:uri="http://schemas.microsoft.com/office/infopath/2007/PartnerControls"/>
    <ds:schemaRef ds:uri="ccb80256-d10e-4995-b59b-64899e92a26b"/>
    <ds:schemaRef ds:uri="68b65867-fa43-4ee5-8d60-e1fdbb097d20"/>
  </ds:schemaRefs>
</ds:datastoreItem>
</file>

<file path=customXml/itemProps4.xml><?xml version="1.0" encoding="utf-8"?>
<ds:datastoreItem xmlns:ds="http://schemas.openxmlformats.org/officeDocument/2006/customXml" ds:itemID="{76FB92E9-4DAA-438D-8AAC-F7D83CEED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16</Pages>
  <Words>6490</Words>
  <Characters>38356</Characters>
  <Application>Microsoft Office Word</Application>
  <DocSecurity>0</DocSecurity>
  <Lines>1036</Lines>
  <Paragraphs>236</Paragraphs>
  <ScaleCrop>false</ScaleCrop>
  <Company>GPPi</Company>
  <LinksUpToDate>false</LinksUpToDate>
  <CharactersWithSpaces>44610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Gaston</dc:creator>
  <cp:keywords/>
  <dc:description/>
  <cp:lastModifiedBy>Andov, Simon</cp:lastModifiedBy>
  <cp:revision>214</cp:revision>
  <cp:lastPrinted>2017-06-09T11:15:00Z</cp:lastPrinted>
  <dcterms:created xsi:type="dcterms:W3CDTF">2024-11-26T10:56:00Z</dcterms:created>
  <dcterms:modified xsi:type="dcterms:W3CDTF">2025-01-09T16:47:00Z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0x0101007AC0176416AEBE40A4E52F10F245D77D</vt:lpwstr>
  </property>
  <property fmtid="{D5CDD505-2E9C-101B-9397-08002B2CF9AE}" pid="3" name="IsMyDocuments">
    <vt:bool>true</vt:bool>
  </property>
  <property fmtid="{D5CDD505-2E9C-101B-9397-08002B2CF9AE}" pid="4" name="MediaServiceImageTags">
    <vt:lpwstr/>
  </property>
  <property fmtid="{D5CDD505-2E9C-101B-9397-08002B2CF9AE}" pid="5" name="GrammarlyDocumentId">
    <vt:lpwstr>c3096be5de4e93e9e79f161f8fec33c976df94f02b95398e1d3bbc0663561ba0</vt:lpwstr>
  </property>
</Properties>
</file>