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D1314" w14:textId="77777777" w:rsidR="00D8414F" w:rsidRDefault="007078CD" w:rsidP="00AF2576">
      <w:pPr>
        <w:pStyle w:val="TitleLight"/>
        <w:rPr>
          <w:b/>
          <w:bCs w:val="0"/>
          <w:lang w:val="en-US"/>
        </w:rPr>
      </w:pPr>
      <w:r w:rsidRPr="007078CD">
        <w:rPr>
          <w:noProof/>
          <w:sz w:val="50"/>
          <w:szCs w:val="50"/>
        </w:rPr>
        <mc:AlternateContent>
          <mc:Choice Requires="wpg">
            <w:drawing>
              <wp:anchor distT="0" distB="0" distL="114300" distR="114300" simplePos="0" relativeHeight="251665408" behindDoc="0" locked="0" layoutInCell="1" allowOverlap="1" wp14:anchorId="38D74053" wp14:editId="34CB7324">
                <wp:simplePos x="0" y="0"/>
                <wp:positionH relativeFrom="column">
                  <wp:posOffset>-1553845</wp:posOffset>
                </wp:positionH>
                <wp:positionV relativeFrom="paragraph">
                  <wp:posOffset>-542290</wp:posOffset>
                </wp:positionV>
                <wp:extent cx="10201275" cy="7981950"/>
                <wp:effectExtent l="0" t="0" r="9525" b="0"/>
                <wp:wrapNone/>
                <wp:docPr id="35" name="Group 35"/>
                <wp:cNvGraphicFramePr/>
                <a:graphic xmlns:a="http://schemas.openxmlformats.org/drawingml/2006/main">
                  <a:graphicData uri="http://schemas.microsoft.com/office/word/2010/wordprocessingGroup">
                    <wpg:wgp>
                      <wpg:cNvGrpSpPr/>
                      <wpg:grpSpPr>
                        <a:xfrm>
                          <a:off x="0" y="0"/>
                          <a:ext cx="10201275" cy="7981950"/>
                          <a:chOff x="-60960" y="3101340"/>
                          <a:chExt cx="10201275" cy="7981950"/>
                        </a:xfrm>
                      </wpg:grpSpPr>
                      <wps:wsp>
                        <wps:cNvPr id="30" name="Oval 30"/>
                        <wps:cNvSpPr/>
                        <wps:spPr>
                          <a:xfrm>
                            <a:off x="3396615" y="3101340"/>
                            <a:ext cx="6743700" cy="6743700"/>
                          </a:xfrm>
                          <a:prstGeom prst="ellipse">
                            <a:avLst/>
                          </a:prstGeom>
                          <a:solidFill>
                            <a:srgbClr val="77AEA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60960" y="4339590"/>
                            <a:ext cx="6743700" cy="6743700"/>
                          </a:xfrm>
                          <a:prstGeom prst="ellipse">
                            <a:avLst/>
                          </a:prstGeom>
                          <a:solidFill>
                            <a:srgbClr val="3555A6">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892F8A" id="Group 35" o:spid="_x0000_s1026" style="position:absolute;margin-left:-122.35pt;margin-top:-42.7pt;width:803.25pt;height:628.5pt;z-index:251665408;mso-width-relative:margin;mso-height-relative:margin" coordorigin="-609,31013" coordsize="102012,7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UVTQMAABQLAAAOAAAAZHJzL2Uyb0RvYy54bWzsVl1v2yAUfZ+0/4B4b23ns7HqVFG/NKla&#10;q7VTnwnGsSUMDEic7NfvArabtpk2ddKmSX1xuHA5995z4YTTs23N0YZpU0mR4eQ4xogJKvNKrDL8&#10;9eHq6AQjY4nICZeCZXjHDD6bf/xw2qiUDWQpec40AhBh0kZluLRWpVFkaMlqYo6lYgIWC6lrYsHU&#10;qyjXpAH0mkeDOJ5EjdS50pIyY2D2IiziuccvCkbtbVEYZhHPMORm/Vf779J9o/kpSVeaqLKibRrk&#10;DVnUpBIQtIe6IJagta5eQdUV1dLIwh5TWUeyKCrKfA1QTRK/qOZay7XytazSZqV6moDaFzy9GZZ+&#10;3txpVOUZHo4xEqSGHvmwCGwgp1GrFHyutbpXd7qdWAXL1bstdO1+oRK09bTuelrZ1iIKk0kMtQ2m&#10;gE9hcTo7SWbjlnlaQnvcxqNJPJtAg8BhmMTJcNQ7XP4KJeqyiFyyfW6NghNlnkgzf0bafUkU870w&#10;jpCONEg5kHa7IRwNfdYuMrj0hJnUAHcH2BoOZ5NJAry8rLpjbjIdDacxxHDEdQY0oS+ZpEobe81k&#10;jdwgw4zzShmXKEnJ5sbY4N15uWkjeZVfVZx7Q6+W51wjyB5aM11cLuKwl6uShFm4ZpBCwDHB3Wfw&#10;DIcLhyakww2ubgY60hXvR3bHmfPj4gsr4NRB4wc+nL/vrE+EUMqETcJSSXIWMhnvZ+IUwu3wuXhA&#10;h1xA/B67Beg8A0iHHbJs/d1W5uWi3xx4+EliYXO/w0eWwvab60pIfagyDlW1kYN/R1KgxrG0lPkO&#10;jpeWQayMolcV9PaGGHtHNKgTnAdQXHsLn4LLJsOyHWFUSv390Lzzh/MPqxg1oHYZNt/WRDOM+CcB&#10;N2OWjODGIeuN0Xg6AEPvryz3V8S6PpdwXhLQdkX90Plb3g0LLetHEOaFiwpLRFCInWFqdWec26DC&#10;IO2ULRbeDSRREXsj7hV14I5Vd3Afto9Eq/aAW7gbn2V3G18d8uDrdgq5WFtZVP4GPPHa8g3K4MTt&#10;L0jEAP4B9yQCTOi/i/xbErGniyOQi/Gs1cV/pBDD8Xi8mPjOkHeFOHTBn8vLu0L83wrhnxTw9PJ/&#10;Mu0z0b3t9m2vKE+P2fkPAAAA//8DAFBLAwQUAAYACAAAACEAk28FzeMAAAAOAQAADwAAAGRycy9k&#10;b3ducmV2LnhtbEyPwW7CMBBE75X6D9ZW6g0cQwgoxEEItT2hSoVKFTcTL0lEbEexScLfdzm1txnt&#10;0+xMthlNw3rsfO2sBDGNgKEtnK5tKeH7+D5ZAfNBWa0aZ1HCHT1s8uenTKXaDfYL+0MoGYVYnyoJ&#10;VQhtyrkvKjTKT12Llm4X1xkVyHYl150aKNw0fBZFCTeqtvShUi3uKiyuh5uR8DGoYTsXb/3+etnd&#10;T8fF589eoJSvL+N2DSzgGP5geNSn6pBTp7O7We1ZI2Eyi+MlsaRWixjYA5knguacSYmlSIDnGf8/&#10;I/8FAAD//wMAUEsBAi0AFAAGAAgAAAAhALaDOJL+AAAA4QEAABMAAAAAAAAAAAAAAAAAAAAAAFtD&#10;b250ZW50X1R5cGVzXS54bWxQSwECLQAUAAYACAAAACEAOP0h/9YAAACUAQAACwAAAAAAAAAAAAAA&#10;AAAvAQAAX3JlbHMvLnJlbHNQSwECLQAUAAYACAAAACEANxM1FU0DAAAUCwAADgAAAAAAAAAAAAAA&#10;AAAuAgAAZHJzL2Uyb0RvYy54bWxQSwECLQAUAAYACAAAACEAk28FzeMAAAAOAQAADwAAAAAAAAAA&#10;AAAAAACnBQAAZHJzL2Rvd25yZXYueG1sUEsFBgAAAAAEAAQA8wAAALcGAAAAAA==&#10;">
                <v:oval id="Oval 30" o:spid="_x0000_s1027" style="position:absolute;left:33966;top:31013;width:67437;height:6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7sIA&#10;AADbAAAADwAAAGRycy9kb3ducmV2LnhtbERPz2vCMBS+C/4P4QnebKqCSGdaNkEZCDLdDh7fmre2&#10;W/NSkqyt++uXw2DHj+/3rhhNK3pyvrGsYJmkIIhLqxuuFLy9HhZbED4ga2wtk4I7eSjy6WSHmbYD&#10;X6i/hkrEEPYZKqhD6DIpfVmTQZ/YjjhyH9YZDBG6SmqHQww3rVyl6UYabDg21NjRvqby6/ptFLTD&#10;7eV2Opz71dPyp0nl0Wnz+a7UfDY+PoAINIZ/8Z/7WStYx/X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Zr7uwgAAANsAAAAPAAAAAAAAAAAAAAAAAJgCAABkcnMvZG93&#10;bnJldi54bWxQSwUGAAAAAAQABAD1AAAAhwMAAAAA&#10;" fillcolor="#77aea0" stroked="f" strokeweight="2pt">
                  <v:fill opacity="13107f"/>
                </v:oval>
                <v:oval id="Oval 28" o:spid="_x0000_s1028" style="position:absolute;left:-609;top:43395;width:67436;height:6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TSsAA&#10;AADbAAAADwAAAGRycy9kb3ducmV2LnhtbERPz2vCMBS+C/4P4Q1203SFyeiMIoqy27C67fponk21&#10;eSlJ1Opfbw7Cjh/f7+m8t624kA+NYwVv4wwEceV0w7WC/W49+gARIrLG1jEpuFGA+Ww4mGKh3ZW3&#10;dCljLVIIhwIVmBi7QspQGbIYxq4jTtzBeYsxQV9L7fGawm0r8yybSIsNpwaDHS0NVafybBUstp3/&#10;WW14kuWb3a80f8fy/fuu1OtLv/gEEamP/+Kn+0sryNPY9CX9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LTSsAAAADbAAAADwAAAAAAAAAAAAAAAACYAgAAZHJzL2Rvd25y&#10;ZXYueG1sUEsFBgAAAAAEAAQA9QAAAIUDAAAAAA==&#10;" fillcolor="#3555a6" stroked="f" strokeweight="2pt">
                  <v:fill opacity="13107f"/>
                </v:oval>
              </v:group>
            </w:pict>
          </mc:Fallback>
        </mc:AlternateContent>
      </w:r>
      <w:r w:rsidR="00A21082" w:rsidRPr="003F5B5C">
        <w:rPr>
          <w:noProof/>
        </w:rPr>
        <mc:AlternateContent>
          <mc:Choice Requires="wps">
            <w:drawing>
              <wp:anchor distT="0" distB="0" distL="114300" distR="114300" simplePos="0" relativeHeight="251661312" behindDoc="1" locked="0" layoutInCell="1" allowOverlap="1" wp14:anchorId="7C0CEE63" wp14:editId="172242A7">
                <wp:simplePos x="0" y="0"/>
                <wp:positionH relativeFrom="page">
                  <wp:align>left</wp:align>
                </wp:positionH>
                <wp:positionV relativeFrom="paragraph">
                  <wp:posOffset>-1461770</wp:posOffset>
                </wp:positionV>
                <wp:extent cx="7564120" cy="11021695"/>
                <wp:effectExtent l="0" t="0" r="0" b="8255"/>
                <wp:wrapNone/>
                <wp:docPr id="1" name="Rectangle 1"/>
                <wp:cNvGraphicFramePr/>
                <a:graphic xmlns:a="http://schemas.openxmlformats.org/drawingml/2006/main">
                  <a:graphicData uri="http://schemas.microsoft.com/office/word/2010/wordprocessingShape">
                    <wps:wsp>
                      <wps:cNvSpPr/>
                      <wps:spPr>
                        <a:xfrm>
                          <a:off x="0" y="0"/>
                          <a:ext cx="7564120" cy="11021695"/>
                        </a:xfrm>
                        <a:prstGeom prst="rect">
                          <a:avLst/>
                        </a:prstGeom>
                        <a:solidFill>
                          <a:srgbClr val="77AEA0">
                            <a:alpha val="3098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2693" id="Rectangle 1" o:spid="_x0000_s1026" style="position:absolute;margin-left:0;margin-top:-115.1pt;width:595.6pt;height:867.8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gXqQIAAKgFAAAOAAAAZHJzL2Uyb0RvYy54bWysVMFu2zAMvQ/YPwi6L7azpGmDOkXQLsOA&#10;og3aDj0rshQbkEVNUuJkXz9Kctyu7WmYD7Ikko/kE8nLq0OryF5Y14AuaTHKKRGaQ9XobUl/Pq2+&#10;nFPiPNMVU6BFSY/C0avF50+XnZmLMdSgKmEJgmg370xJa+/NPMscr0XL3AiM0CiUYFvm8Wi3WWVZ&#10;h+itysZ5fpZ1YCtjgQvn8PYmCeki4kspuL+X0glPVEkxNh9XG9dNWLPFJZtvLTN1w/sw2D9E0bJG&#10;o9MB6oZ5Rna2eQfVNtyCA+lHHNoMpGy4iDlgNkX+JpvHmhkRc0FynBlocv8Plt/t15Y0Fb4dJZq1&#10;+EQPSBrTWyVIEejpjJuj1qNZ2/7kcBtyPUjbhj9mQQ6R0uNAqTh4wvFyNj2bFGNknqOsKPJxcXYx&#10;DbDZi72xzn8X0JKwKalF/5FLtr91PqmeVII7B6qpVo1S8WC3m2tlyZ7hA89my2/LPNkqU7N0+zW/&#10;OI8PjS5dUo/u/8JROqBpCLjJZbjJQvIp3bjzRyWCntIPQiJrmOA4uov1KoZAGOdC+yKJalaJFMk0&#10;x69PfrCIsUTAgCzR/4DdA4ReeI+douz1g6mI5T4YJx4GNymCU2DJeLCInkH7wbhtNNiPMlOYVe85&#10;6Z9IStQEljZQHbGmLKRmc4avGnzYW+b8mlnsLqwGnBj+HhepoCsp9DtKarC/P7oP+lj0KKWkw24t&#10;qfu1Y1ZQon5obIeLYjIJ7R0Pk+ksVJx9Ldm8luhdew1YL1jyGF3cBn2vTltpoX3GwbIMXlHENEff&#10;JeXeng7XPk0RHE1cLJdRDVvaMH+rHw0P4IHVULhPh2dmTV/dHjvjDk6dzeZvijzpBksNy50H2cQO&#10;eOG15xvHQSycfnSFefP6HLVeBuziDwAAAP//AwBQSwMEFAAGAAgAAAAhACg4Cc/hAAAACwEAAA8A&#10;AABkcnMvZG93bnJldi54bWxMj0FPg0AQhe8m/ofNmHhrF1AMIktjTIx68GAxTY8LOwLKzhJ229J/&#10;3+mp3t7kvbz5XrGa7SD2OPnekYJ4GYFAapzpqVXwXb0uMhA+aDJ6cIQKjuhhVV5fFTo37kBfuF+H&#10;VnAJ+Vwr6EIYcyl906HVfulGJPZ+3GR14HNqpZn0gcvtIJMoepBW98QfOj3iS4fN33pnFcj+bVs1&#10;Y/35fmy3myy7/3Wbj0qp25v5+QlEwDlcwnDGZ3Qomal2OzJeDAp4SFCwSO6iBMTZjx9jVjWrNEpT&#10;kGUh/28oTwAAAP//AwBQSwECLQAUAAYACAAAACEAtoM4kv4AAADhAQAAEwAAAAAAAAAAAAAAAAAA&#10;AAAAW0NvbnRlbnRfVHlwZXNdLnhtbFBLAQItABQABgAIAAAAIQA4/SH/1gAAAJQBAAALAAAAAAAA&#10;AAAAAAAAAC8BAABfcmVscy8ucmVsc1BLAQItABQABgAIAAAAIQDpDRgXqQIAAKgFAAAOAAAAAAAA&#10;AAAAAAAAAC4CAABkcnMvZTJvRG9jLnhtbFBLAQItABQABgAIAAAAIQAoOAnP4QAAAAsBAAAPAAAA&#10;AAAAAAAAAAAAAAMFAABkcnMvZG93bnJldi54bWxQSwUGAAAAAAQABADzAAAAEQYAAAAA&#10;" fillcolor="#77aea0" stroked="f" strokeweight="2pt">
                <v:fill opacity="20303f"/>
                <w10:wrap anchorx="page"/>
              </v:rect>
            </w:pict>
          </mc:Fallback>
        </mc:AlternateContent>
      </w:r>
      <w:r w:rsidR="00D8414F" w:rsidRPr="003F5B5C">
        <w:rPr>
          <w:noProof/>
        </w:rPr>
        <w:drawing>
          <wp:anchor distT="0" distB="0" distL="114300" distR="114300" simplePos="0" relativeHeight="251663360" behindDoc="0" locked="0" layoutInCell="1" allowOverlap="1" wp14:anchorId="1863CFB8" wp14:editId="48249185">
            <wp:simplePos x="0" y="0"/>
            <wp:positionH relativeFrom="column">
              <wp:posOffset>-509905</wp:posOffset>
            </wp:positionH>
            <wp:positionV relativeFrom="paragraph">
              <wp:posOffset>-1126490</wp:posOffset>
            </wp:positionV>
            <wp:extent cx="2009775" cy="1330960"/>
            <wp:effectExtent l="0" t="0" r="9525"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oMo4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775" cy="1330960"/>
                    </a:xfrm>
                    <a:prstGeom prst="rect">
                      <a:avLst/>
                    </a:prstGeom>
                  </pic:spPr>
                </pic:pic>
              </a:graphicData>
            </a:graphic>
          </wp:anchor>
        </w:drawing>
      </w:r>
    </w:p>
    <w:p w14:paraId="24219DDD" w14:textId="77777777" w:rsidR="00A21082" w:rsidRDefault="00A21082" w:rsidP="00AF2576">
      <w:pPr>
        <w:pStyle w:val="TitleLight"/>
        <w:rPr>
          <w:b/>
          <w:bCs w:val="0"/>
          <w:lang w:val="en-US"/>
        </w:rPr>
      </w:pPr>
    </w:p>
    <w:p w14:paraId="38B1F895" w14:textId="77777777" w:rsidR="005B69AA" w:rsidRPr="007078CD" w:rsidRDefault="007078CD" w:rsidP="00AF2576">
      <w:pPr>
        <w:pStyle w:val="TitleLight"/>
        <w:rPr>
          <w:b/>
          <w:bCs w:val="0"/>
          <w:sz w:val="50"/>
          <w:szCs w:val="50"/>
          <w:lang w:val="en-US"/>
        </w:rPr>
      </w:pPr>
      <w:r w:rsidRPr="007078CD">
        <w:rPr>
          <w:b/>
          <w:bCs w:val="0"/>
          <w:sz w:val="50"/>
          <w:szCs w:val="50"/>
          <w:lang w:val="en-US"/>
        </w:rPr>
        <w:t>Juabeso-bia &amp; sefwi wiawso, ghana</w:t>
      </w:r>
    </w:p>
    <w:p w14:paraId="1E9A490B" w14:textId="77777777" w:rsidR="00CB721C" w:rsidRPr="007078CD" w:rsidRDefault="00221189" w:rsidP="00AF2576">
      <w:pPr>
        <w:pStyle w:val="TitleLight"/>
        <w:rPr>
          <w:sz w:val="50"/>
          <w:szCs w:val="50"/>
          <w:lang w:val="en-US"/>
        </w:rPr>
      </w:pPr>
      <w:r w:rsidRPr="007078CD">
        <w:rPr>
          <w:sz w:val="50"/>
          <w:szCs w:val="50"/>
          <w:lang w:val="en-US"/>
        </w:rPr>
        <w:t>landscape assessments and toc</w:t>
      </w:r>
    </w:p>
    <w:p w14:paraId="1FF0E777" w14:textId="77777777" w:rsidR="00221189" w:rsidRPr="00D8414F" w:rsidRDefault="00D8414F" w:rsidP="00AF2576">
      <w:pPr>
        <w:tabs>
          <w:tab w:val="left" w:pos="1128"/>
        </w:tabs>
        <w:spacing w:before="240"/>
        <w:rPr>
          <w:b/>
          <w:bCs/>
          <w:lang w:val="en-US"/>
        </w:rPr>
      </w:pPr>
      <w:r w:rsidRPr="00D8414F">
        <w:rPr>
          <w:rFonts w:ascii="Aileron Light" w:hAnsi="Aileron Light"/>
          <w:b/>
          <w:bCs/>
          <w:color w:val="3555A6"/>
          <w:sz w:val="28"/>
          <w:szCs w:val="28"/>
          <w:lang w:val="en-US"/>
        </w:rPr>
        <w:t>MOMO4C INCEPTION PHASE</w:t>
      </w:r>
    </w:p>
    <w:p w14:paraId="6DE7834C" w14:textId="77777777" w:rsidR="004065FC" w:rsidRDefault="004065FC" w:rsidP="00AF2576">
      <w:pPr>
        <w:rPr>
          <w:lang w:val="en-US"/>
        </w:rPr>
      </w:pPr>
    </w:p>
    <w:p w14:paraId="025CB02A" w14:textId="77777777" w:rsidR="004065FC" w:rsidRDefault="004065FC" w:rsidP="00AF2576">
      <w:pPr>
        <w:rPr>
          <w:lang w:val="en-US"/>
        </w:rPr>
      </w:pPr>
    </w:p>
    <w:p w14:paraId="5857780D" w14:textId="77777777" w:rsidR="004065FC" w:rsidRDefault="004065FC" w:rsidP="00AF2576">
      <w:pPr>
        <w:rPr>
          <w:lang w:val="en-US"/>
        </w:rPr>
      </w:pPr>
    </w:p>
    <w:p w14:paraId="3D15AB1C" w14:textId="77777777" w:rsidR="004065FC" w:rsidRDefault="00A21082" w:rsidP="00AF2576">
      <w:pPr>
        <w:rPr>
          <w:lang w:val="en-US"/>
        </w:rPr>
      </w:pPr>
      <w:r w:rsidRPr="00A21082">
        <w:rPr>
          <w:noProof/>
          <w:lang w:eastAsia="nl-NL"/>
        </w:rPr>
        <w:drawing>
          <wp:anchor distT="0" distB="0" distL="114300" distR="114300" simplePos="0" relativeHeight="251668480" behindDoc="0" locked="0" layoutInCell="1" allowOverlap="1" wp14:anchorId="3DEF86B0" wp14:editId="290EF2F1">
            <wp:simplePos x="0" y="0"/>
            <wp:positionH relativeFrom="margin">
              <wp:posOffset>2700020</wp:posOffset>
            </wp:positionH>
            <wp:positionV relativeFrom="paragraph">
              <wp:posOffset>5162550</wp:posOffset>
            </wp:positionV>
            <wp:extent cx="856615" cy="645160"/>
            <wp:effectExtent l="0" t="0" r="635"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TropenbosInternationaal_vierka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6615" cy="645160"/>
                    </a:xfrm>
                    <a:prstGeom prst="rect">
                      <a:avLst/>
                    </a:prstGeom>
                  </pic:spPr>
                </pic:pic>
              </a:graphicData>
            </a:graphic>
            <wp14:sizeRelH relativeFrom="margin">
              <wp14:pctWidth>0</wp14:pctWidth>
            </wp14:sizeRelH>
            <wp14:sizeRelV relativeFrom="margin">
              <wp14:pctHeight>0</wp14:pctHeight>
            </wp14:sizeRelV>
          </wp:anchor>
        </w:drawing>
      </w:r>
      <w:r w:rsidRPr="00A21082">
        <w:rPr>
          <w:noProof/>
          <w:lang w:eastAsia="nl-NL"/>
        </w:rPr>
        <w:drawing>
          <wp:anchor distT="0" distB="0" distL="114300" distR="114300" simplePos="0" relativeHeight="251669504" behindDoc="0" locked="0" layoutInCell="1" allowOverlap="1" wp14:anchorId="3D8ADBB2" wp14:editId="131B14D5">
            <wp:simplePos x="0" y="0"/>
            <wp:positionH relativeFrom="margin">
              <wp:posOffset>5367020</wp:posOffset>
            </wp:positionH>
            <wp:positionV relativeFrom="paragraph">
              <wp:posOffset>5119370</wp:posOffset>
            </wp:positionV>
            <wp:extent cx="555625" cy="66675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WW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625" cy="666750"/>
                    </a:xfrm>
                    <a:prstGeom prst="rect">
                      <a:avLst/>
                    </a:prstGeom>
                  </pic:spPr>
                </pic:pic>
              </a:graphicData>
            </a:graphic>
            <wp14:sizeRelH relativeFrom="margin">
              <wp14:pctWidth>0</wp14:pctWidth>
            </wp14:sizeRelH>
            <wp14:sizeRelV relativeFrom="margin">
              <wp14:pctHeight>0</wp14:pctHeight>
            </wp14:sizeRelV>
          </wp:anchor>
        </w:drawing>
      </w:r>
      <w:r w:rsidRPr="00A21082">
        <w:rPr>
          <w:noProof/>
          <w:lang w:eastAsia="nl-NL"/>
        </w:rPr>
        <w:drawing>
          <wp:anchor distT="0" distB="0" distL="114300" distR="114300" simplePos="0" relativeHeight="251667456" behindDoc="0" locked="0" layoutInCell="1" allowOverlap="1" wp14:anchorId="10FAE8B4" wp14:editId="04BDF326">
            <wp:simplePos x="0" y="0"/>
            <wp:positionH relativeFrom="column">
              <wp:posOffset>-157208</wp:posOffset>
            </wp:positionH>
            <wp:positionV relativeFrom="paragraph">
              <wp:posOffset>5141232</wp:posOffset>
            </wp:positionV>
            <wp:extent cx="1598295" cy="6477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UCN NL Logo transparant (gebruik voor pd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8295" cy="647700"/>
                    </a:xfrm>
                    <a:prstGeom prst="rect">
                      <a:avLst/>
                    </a:prstGeom>
                  </pic:spPr>
                </pic:pic>
              </a:graphicData>
            </a:graphic>
            <wp14:sizeRelH relativeFrom="margin">
              <wp14:pctWidth>0</wp14:pctWidth>
            </wp14:sizeRelH>
            <wp14:sizeRelV relativeFrom="margin">
              <wp14:pctHeight>0</wp14:pctHeight>
            </wp14:sizeRelV>
          </wp:anchor>
        </w:drawing>
      </w:r>
      <w:r w:rsidR="004065FC">
        <w:rPr>
          <w:lang w:val="en-US"/>
        </w:rPr>
        <w:t>31 March 2020, revised version</w:t>
      </w:r>
    </w:p>
    <w:p w14:paraId="77EC8A1B" w14:textId="7BE8C626" w:rsidR="006B596D" w:rsidRDefault="004065FC" w:rsidP="00AF2576">
      <w:pPr>
        <w:rPr>
          <w:rFonts w:ascii="Aileron Bold" w:eastAsia="Arial" w:hAnsi="Aileron Bold" w:cs="Arial"/>
          <w:b/>
          <w:caps/>
          <w:color w:val="003F79"/>
          <w:kern w:val="32"/>
          <w:szCs w:val="32"/>
          <w:lang w:val="en-GB" w:eastAsia="nl-NL"/>
        </w:rPr>
      </w:pPr>
      <w:r>
        <w:rPr>
          <w:lang w:val="en-US"/>
        </w:rPr>
        <w:t>FINAL</w:t>
      </w:r>
      <w:r w:rsidR="006B596D" w:rsidRPr="00D8414F">
        <w:rPr>
          <w:lang w:val="en-US"/>
        </w:rPr>
        <w:br w:type="page"/>
      </w:r>
    </w:p>
    <w:p w14:paraId="487B31C2" w14:textId="77777777" w:rsidR="00F6756E" w:rsidRDefault="00F6756E" w:rsidP="00AF2576">
      <w:pPr>
        <w:pStyle w:val="Kop1"/>
      </w:pPr>
      <w:r>
        <w:lastRenderedPageBreak/>
        <w:t>Landscape introduction</w:t>
      </w:r>
    </w:p>
    <w:p w14:paraId="3930B45F" w14:textId="77777777" w:rsidR="00C25EF7" w:rsidRDefault="00C25EF7" w:rsidP="00AF2576">
      <w:pPr>
        <w:rPr>
          <w:lang w:val="en-GB" w:eastAsia="nl-NL"/>
        </w:rPr>
      </w:pPr>
    </w:p>
    <w:p w14:paraId="1C8472A3"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 xml:space="preserve">Inhabitants: 313 967 </w:t>
      </w:r>
    </w:p>
    <w:p w14:paraId="202E8DB1"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Area: 4 811 km</w:t>
      </w:r>
      <w:r w:rsidRPr="0063633D">
        <w:rPr>
          <w:rFonts w:cs="UnitRoundedAt-Light"/>
          <w:color w:val="0F0F0F"/>
          <w:vertAlign w:val="superscript"/>
          <w:lang w:val="en-US"/>
        </w:rPr>
        <w:t>2</w:t>
      </w:r>
    </w:p>
    <w:p w14:paraId="34FE74CD" w14:textId="77777777" w:rsidR="00C25EF7" w:rsidRPr="0063633D" w:rsidRDefault="00C25EF7" w:rsidP="00AF2576">
      <w:pPr>
        <w:autoSpaceDE w:val="0"/>
        <w:autoSpaceDN w:val="0"/>
        <w:adjustRightInd w:val="0"/>
        <w:rPr>
          <w:rFonts w:cs="UnitRoundedAt-Light"/>
          <w:color w:val="0F0F0F"/>
          <w:lang w:val="en-US"/>
        </w:rPr>
      </w:pPr>
    </w:p>
    <w:p w14:paraId="20D3AA7A"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 xml:space="preserve">The landscape contains the </w:t>
      </w:r>
      <w:proofErr w:type="spellStart"/>
      <w:r w:rsidRPr="0063633D">
        <w:rPr>
          <w:rFonts w:cs="UnitRoundedAt-Light"/>
          <w:color w:val="0F0F0F"/>
          <w:lang w:val="en-US"/>
        </w:rPr>
        <w:t>Juabeso</w:t>
      </w:r>
      <w:proofErr w:type="spellEnd"/>
      <w:r w:rsidRPr="0063633D">
        <w:rPr>
          <w:rFonts w:cs="UnitRoundedAt-Light"/>
          <w:color w:val="0F0F0F"/>
          <w:lang w:val="en-US"/>
        </w:rPr>
        <w:t xml:space="preserve">, Bia-West &amp; East districts, as well as the </w:t>
      </w:r>
      <w:proofErr w:type="spellStart"/>
      <w:r w:rsidRPr="0063633D">
        <w:rPr>
          <w:rFonts w:cs="UnitRoundedAt-Light"/>
          <w:color w:val="0F0F0F"/>
          <w:lang w:val="en-US"/>
        </w:rPr>
        <w:t>Sefwi</w:t>
      </w:r>
      <w:proofErr w:type="spellEnd"/>
      <w:r w:rsidRPr="0063633D">
        <w:rPr>
          <w:rFonts w:cs="UnitRoundedAt-Light"/>
          <w:color w:val="0F0F0F"/>
          <w:lang w:val="en-US"/>
        </w:rPr>
        <w:t xml:space="preserve"> </w:t>
      </w:r>
      <w:proofErr w:type="spellStart"/>
      <w:r w:rsidRPr="0063633D">
        <w:rPr>
          <w:rFonts w:cs="UnitRoundedAt-Light"/>
          <w:color w:val="0F0F0F"/>
          <w:lang w:val="en-US"/>
        </w:rPr>
        <w:t>Wiawso</w:t>
      </w:r>
      <w:proofErr w:type="spellEnd"/>
      <w:r w:rsidRPr="0063633D">
        <w:rPr>
          <w:rFonts w:cs="UnitRoundedAt-Light"/>
          <w:color w:val="0F0F0F"/>
          <w:lang w:val="en-US"/>
        </w:rPr>
        <w:t xml:space="preserve"> municipal district. The economy of these districts largely depends on cocoa production, although other tree crops (oil palm, fruit trees, timber), staple crops (cassava, maize, plantain and some small livestock) and small livestock (chicken, goats, sheep and pigs) are also produced. </w:t>
      </w:r>
    </w:p>
    <w:p w14:paraId="733FC12A" w14:textId="77777777" w:rsidR="00C25EF7" w:rsidRPr="0063633D" w:rsidRDefault="00C25EF7" w:rsidP="00AF2576">
      <w:pPr>
        <w:autoSpaceDE w:val="0"/>
        <w:autoSpaceDN w:val="0"/>
        <w:adjustRightInd w:val="0"/>
        <w:rPr>
          <w:rFonts w:cs="UnitRoundedAt-Light"/>
          <w:color w:val="0F0F0F"/>
          <w:lang w:val="en-US"/>
        </w:rPr>
      </w:pPr>
    </w:p>
    <w:p w14:paraId="6FE266F5"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 xml:space="preserve">The entire landscape forms part of the Ghana REDD+ Cocoa-Forest Emission Reduction </w:t>
      </w:r>
      <w:proofErr w:type="spellStart"/>
      <w:r w:rsidRPr="0063633D">
        <w:rPr>
          <w:rFonts w:cs="UnitRoundedAt-Light"/>
          <w:color w:val="0F0F0F"/>
          <w:lang w:val="en-US"/>
        </w:rPr>
        <w:t>Programme</w:t>
      </w:r>
      <w:proofErr w:type="spellEnd"/>
      <w:r w:rsidRPr="0063633D">
        <w:rPr>
          <w:rFonts w:cs="UnitRoundedAt-Light"/>
          <w:color w:val="0F0F0F"/>
          <w:lang w:val="en-US"/>
        </w:rPr>
        <w:t xml:space="preserve"> area and will require considerable finance to ensure that cocoa production, -Ghana is second largest cocoa producer of the world-, will become resilient to climate change</w:t>
      </w:r>
      <w:r w:rsidRPr="0063633D">
        <w:rPr>
          <w:rStyle w:val="Voetnootmarkering"/>
          <w:rFonts w:cs="UnitRoundedAt-Light"/>
          <w:color w:val="0F0F0F"/>
          <w:lang w:val="en-US"/>
        </w:rPr>
        <w:footnoteReference w:id="1"/>
      </w:r>
      <w:r w:rsidRPr="0063633D">
        <w:rPr>
          <w:rFonts w:cs="UnitRoundedAt-Light"/>
          <w:color w:val="0F0F0F"/>
          <w:lang w:val="en-US"/>
        </w:rPr>
        <w:t>. This will depend for a large part on maintaining and enhancing the forest ecosystem services such as regulation of (micro) climate and of the availability of moisture. In order to achieve this, it is considered that besides the committed REDD+ finance, additional private finance will be needed.</w:t>
      </w:r>
    </w:p>
    <w:p w14:paraId="5B94CB33" w14:textId="77777777" w:rsidR="00C25EF7" w:rsidRPr="0063633D" w:rsidRDefault="00C25EF7" w:rsidP="00AF2576">
      <w:pPr>
        <w:autoSpaceDE w:val="0"/>
        <w:autoSpaceDN w:val="0"/>
        <w:adjustRightInd w:val="0"/>
        <w:rPr>
          <w:rFonts w:cs="UnitRoundedAt-Light"/>
          <w:color w:val="0F0F0F"/>
          <w:lang w:val="en-US"/>
        </w:rPr>
      </w:pPr>
    </w:p>
    <w:p w14:paraId="764449A7"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 xml:space="preserve">In addition, the </w:t>
      </w:r>
      <w:proofErr w:type="spellStart"/>
      <w:r w:rsidRPr="0063633D">
        <w:rPr>
          <w:rFonts w:cs="UnitRoundedAt-Light"/>
          <w:color w:val="0F0F0F"/>
          <w:lang w:val="en-US"/>
        </w:rPr>
        <w:t>Juabeso</w:t>
      </w:r>
      <w:proofErr w:type="spellEnd"/>
      <w:r w:rsidRPr="0063633D">
        <w:rPr>
          <w:rFonts w:cs="UnitRoundedAt-Light"/>
          <w:color w:val="0F0F0F"/>
          <w:lang w:val="en-US"/>
        </w:rPr>
        <w:t xml:space="preserve">-Bia and </w:t>
      </w:r>
      <w:proofErr w:type="spellStart"/>
      <w:r w:rsidRPr="0063633D">
        <w:rPr>
          <w:rFonts w:cs="UnitRoundedAt-Light"/>
          <w:color w:val="0F0F0F"/>
          <w:lang w:val="en-US"/>
        </w:rPr>
        <w:t>Sefwi</w:t>
      </w:r>
      <w:proofErr w:type="spellEnd"/>
      <w:r w:rsidRPr="0063633D">
        <w:rPr>
          <w:rFonts w:cs="UnitRoundedAt-Light"/>
          <w:color w:val="0F0F0F"/>
          <w:lang w:val="en-US"/>
        </w:rPr>
        <w:t xml:space="preserve"> </w:t>
      </w:r>
      <w:proofErr w:type="spellStart"/>
      <w:r w:rsidRPr="0063633D">
        <w:rPr>
          <w:rFonts w:cs="UnitRoundedAt-Light"/>
          <w:color w:val="0F0F0F"/>
          <w:lang w:val="en-US"/>
        </w:rPr>
        <w:t>Wiawso</w:t>
      </w:r>
      <w:proofErr w:type="spellEnd"/>
      <w:r w:rsidRPr="0063633D">
        <w:rPr>
          <w:rFonts w:cs="UnitRoundedAt-Light"/>
          <w:color w:val="0F0F0F"/>
          <w:lang w:val="en-US"/>
        </w:rPr>
        <w:t xml:space="preserve"> Forest landscape falls within the Bia-Tano River Basin of Ghana and also contains the only biosphere reserve (Bia Resources Reserve) in Ghana.  The landscape contains the </w:t>
      </w:r>
      <w:proofErr w:type="spellStart"/>
      <w:r w:rsidRPr="0063633D">
        <w:rPr>
          <w:rFonts w:cs="UnitRoundedAt-Light"/>
          <w:color w:val="0F0F0F"/>
          <w:lang w:val="en-US"/>
        </w:rPr>
        <w:t>Boizan</w:t>
      </w:r>
      <w:proofErr w:type="spellEnd"/>
      <w:r w:rsidRPr="0063633D">
        <w:rPr>
          <w:rFonts w:cs="UnitRoundedAt-Light"/>
          <w:color w:val="0F0F0F"/>
          <w:lang w:val="en-US"/>
        </w:rPr>
        <w:t xml:space="preserve"> and Bia Rivers, important drinking water resources for local communities. It also houses a significant population of elephants and many primates and serves as an important wildlife corridor between Ghana and Ivory Coast (Cote d’Ivoire), particularly for the movement of elephants between the two countries. </w:t>
      </w:r>
    </w:p>
    <w:p w14:paraId="34CA7B9D" w14:textId="77777777" w:rsidR="00C25EF7" w:rsidRPr="0063633D" w:rsidRDefault="00C25EF7" w:rsidP="00AF2576">
      <w:pPr>
        <w:autoSpaceDE w:val="0"/>
        <w:autoSpaceDN w:val="0"/>
        <w:adjustRightInd w:val="0"/>
        <w:rPr>
          <w:rFonts w:cs="UnitRoundedAt-Light"/>
          <w:color w:val="0F0F0F"/>
          <w:lang w:val="en-US"/>
        </w:rPr>
      </w:pPr>
    </w:p>
    <w:p w14:paraId="56F4F7E5" w14:textId="77777777" w:rsidR="00C25EF7" w:rsidRPr="0063633D" w:rsidRDefault="00C25EF7" w:rsidP="00AF2576">
      <w:pPr>
        <w:autoSpaceDE w:val="0"/>
        <w:autoSpaceDN w:val="0"/>
        <w:adjustRightInd w:val="0"/>
        <w:rPr>
          <w:rFonts w:cs="UnitRoundedAt-Light"/>
          <w:color w:val="0F0F0F"/>
          <w:lang w:val="en-US"/>
        </w:rPr>
      </w:pPr>
      <w:r w:rsidRPr="0063633D">
        <w:rPr>
          <w:rFonts w:cs="Calibri"/>
          <w:lang w:val="en-US"/>
        </w:rPr>
        <w:t xml:space="preserve">Smallholder farmers in the </w:t>
      </w:r>
      <w:proofErr w:type="spellStart"/>
      <w:r w:rsidRPr="0063633D">
        <w:rPr>
          <w:rFonts w:cs="Calibri"/>
          <w:lang w:val="en-US"/>
        </w:rPr>
        <w:t>Juabeso</w:t>
      </w:r>
      <w:proofErr w:type="spellEnd"/>
      <w:r w:rsidRPr="0063633D">
        <w:rPr>
          <w:rFonts w:cs="Calibri"/>
          <w:lang w:val="en-US"/>
        </w:rPr>
        <w:t xml:space="preserve">-Bia (JB) and </w:t>
      </w:r>
      <w:proofErr w:type="spellStart"/>
      <w:r w:rsidRPr="0063633D">
        <w:rPr>
          <w:rFonts w:cs="Calibri"/>
          <w:lang w:val="en-US"/>
        </w:rPr>
        <w:t>Sefwi-Wiawso</w:t>
      </w:r>
      <w:proofErr w:type="spellEnd"/>
      <w:r w:rsidRPr="0063633D">
        <w:rPr>
          <w:rFonts w:cs="Calibri"/>
          <w:lang w:val="en-US"/>
        </w:rPr>
        <w:t xml:space="preserve"> (SW) landscapes in the Western North Region over the years moved away from shaded cocoa agroforestry farming systems into full-sun or low shade cocoa farming with its negative consequences being on farmers livelihoods.  The result has been increased deforestation through conversion of forests areas to agriculture lands and is a major cause of CO</w:t>
      </w:r>
      <w:r w:rsidRPr="0063633D">
        <w:rPr>
          <w:rFonts w:cs="Calibri"/>
          <w:vertAlign w:val="subscript"/>
          <w:lang w:val="en-US"/>
        </w:rPr>
        <w:t xml:space="preserve">2 </w:t>
      </w:r>
      <w:r w:rsidRPr="0063633D">
        <w:rPr>
          <w:rFonts w:cs="Calibri"/>
          <w:lang w:val="en-US"/>
        </w:rPr>
        <w:t xml:space="preserve">emissions that largely contributes to climate change and its impacts on smallholder cocoa farmers livelihoods. There is over-reliance on cocoa production as a form of livelihood at the expense of other cash and food crops, causing expansion of cocoa farms into forested lands (both forest patches outside forest reserves and encroachment of legal or admitted farms into forest reserves). This phenomenon over the years has contributed to making the landscape vulnerable to climate change impact and risk in smallholder farmers livelihoods and also contributing to lack of access to operating credit, especially investment capital to renovate or rehabilitate their overaged, diseased and low yielding cocoa farms. Furthermore, illegal logging, artisanal and small-scale surface mining, and slash and burn agriculture contribute to forest degradation and unsustainability of the JB and SW landscapes. These drivers are perpetuated by multiple actors with divergent and often, conflicting interests and not making the landscape climate resilient. Thus, neither mitigation nor adaptation actions will be effective if the different stakeholders try to address these problems independently. </w:t>
      </w:r>
      <w:r>
        <w:rPr>
          <w:rFonts w:cs="UnitRoundedAt-Light"/>
          <w:color w:val="0F0F0F"/>
          <w:lang w:val="en-US"/>
        </w:rPr>
        <w:t>In practice, however, t</w:t>
      </w:r>
      <w:r w:rsidRPr="0063633D">
        <w:rPr>
          <w:rFonts w:cs="UnitRoundedAt-Light"/>
          <w:color w:val="0F0F0F"/>
          <w:lang w:val="en-US"/>
        </w:rPr>
        <w:t xml:space="preserve">he landscape is also suffering from governance issues, with many initiatives working in a little coordinated effort, having parallel authorities (traditional and legal) and with many farmers not having legal access to land and trees. </w:t>
      </w:r>
    </w:p>
    <w:p w14:paraId="0ED6FF6F" w14:textId="77777777" w:rsidR="00C25EF7" w:rsidRPr="0063633D" w:rsidRDefault="00C25EF7" w:rsidP="00AF2576">
      <w:pPr>
        <w:autoSpaceDE w:val="0"/>
        <w:autoSpaceDN w:val="0"/>
        <w:adjustRightInd w:val="0"/>
        <w:rPr>
          <w:rFonts w:cs="UnitRoundedAt-Light"/>
          <w:color w:val="0F0F0F"/>
          <w:lang w:val="en-US"/>
        </w:rPr>
      </w:pPr>
    </w:p>
    <w:p w14:paraId="691206BC" w14:textId="77777777" w:rsidR="00C25EF7" w:rsidRPr="0063633D" w:rsidRDefault="00C25EF7" w:rsidP="00AF2576">
      <w:pPr>
        <w:autoSpaceDE w:val="0"/>
        <w:autoSpaceDN w:val="0"/>
        <w:adjustRightInd w:val="0"/>
        <w:rPr>
          <w:rFonts w:cs="UnitRoundedAt-Light"/>
          <w:color w:val="0F0F0F"/>
          <w:lang w:val="en-US"/>
        </w:rPr>
      </w:pPr>
      <w:r w:rsidRPr="0063633D">
        <w:rPr>
          <w:rFonts w:cs="UnitRoundedAt-Light"/>
          <w:color w:val="0F0F0F"/>
          <w:lang w:val="en-US"/>
        </w:rPr>
        <w:t xml:space="preserve">On the other hand, companies, CSO and authorities alike are aware of this situation and have committed to increase their efforts to reduce deforestation and increase resilience. For example, Touton initiated a program that </w:t>
      </w:r>
      <w:r w:rsidRPr="0063633D">
        <w:rPr>
          <w:rFonts w:cs="UnitRoundedAt-Light"/>
          <w:color w:val="0F0F0F"/>
          <w:lang w:val="en-US"/>
        </w:rPr>
        <w:lastRenderedPageBreak/>
        <w:t xml:space="preserve">promotes climate smart practices of its providers. Such efforts, however, have not yet been implemented from a landscape perspective, while the four districts show similar climate, similar natural resources and similar agricultural systems and are undergoing a process of assigning increased responsibility for the management of natural resources to local communities through the creation and strengthening of Community Resource </w:t>
      </w:r>
      <w:proofErr w:type="spellStart"/>
      <w:r w:rsidRPr="0063633D">
        <w:rPr>
          <w:rFonts w:cs="UnitRoundedAt-Light"/>
          <w:color w:val="0F0F0F"/>
          <w:lang w:val="en-US"/>
        </w:rPr>
        <w:t>Mananagement</w:t>
      </w:r>
      <w:proofErr w:type="spellEnd"/>
      <w:r w:rsidRPr="0063633D">
        <w:rPr>
          <w:rFonts w:cs="UnitRoundedAt-Light"/>
          <w:color w:val="0F0F0F"/>
          <w:lang w:val="en-US"/>
        </w:rPr>
        <w:t xml:space="preserve"> Areas (CREMAs). This creates  opportunities to leverage both private and public funds for climate action in a landscape context.</w:t>
      </w:r>
    </w:p>
    <w:p w14:paraId="73994A16" w14:textId="77777777" w:rsidR="00C25EF7" w:rsidRPr="0063633D" w:rsidRDefault="00C25EF7" w:rsidP="00AF2576">
      <w:pPr>
        <w:autoSpaceDE w:val="0"/>
        <w:autoSpaceDN w:val="0"/>
        <w:adjustRightInd w:val="0"/>
        <w:rPr>
          <w:rFonts w:cs="UnitRoundedAt-Light"/>
          <w:color w:val="0F0F0F"/>
          <w:lang w:val="en-US"/>
        </w:rPr>
      </w:pPr>
    </w:p>
    <w:p w14:paraId="5ABC2E7E" w14:textId="77777777" w:rsidR="00C25EF7" w:rsidRPr="0063633D" w:rsidRDefault="00C25EF7" w:rsidP="00AF2576">
      <w:pPr>
        <w:autoSpaceDE w:val="0"/>
        <w:autoSpaceDN w:val="0"/>
        <w:adjustRightInd w:val="0"/>
        <w:rPr>
          <w:rFonts w:cs="UnitRoundedAt-Light"/>
          <w:color w:val="0F0F0F"/>
          <w:lang w:val="en-US"/>
        </w:rPr>
      </w:pPr>
      <w:proofErr w:type="spellStart"/>
      <w:r w:rsidRPr="0063633D">
        <w:rPr>
          <w:rFonts w:cs="UnitRoundedAt-Light"/>
          <w:color w:val="0F0F0F"/>
          <w:lang w:val="en-US"/>
        </w:rPr>
        <w:t>Tropenbos</w:t>
      </w:r>
      <w:proofErr w:type="spellEnd"/>
      <w:r w:rsidRPr="0063633D">
        <w:rPr>
          <w:rFonts w:cs="UnitRoundedAt-Light"/>
          <w:color w:val="0F0F0F"/>
          <w:lang w:val="en-US"/>
        </w:rPr>
        <w:t xml:space="preserve"> Ghana aims to reduce pressure on the natural resources and improve sustainability and climate resilience of the current land uses through strengthening of civil society (Green Livelihoods Alliance and Non State Actors), improving governance issues (Working Landscapes) and by identifying and developing bankable green climate initiatives that will leverage private investments in such land uses (</w:t>
      </w:r>
      <w:proofErr w:type="spellStart"/>
      <w:r w:rsidRPr="0063633D">
        <w:rPr>
          <w:rFonts w:cs="UnitRoundedAt-Light"/>
          <w:color w:val="0F0F0F"/>
          <w:lang w:val="en-US"/>
        </w:rPr>
        <w:t>Mobilising</w:t>
      </w:r>
      <w:proofErr w:type="spellEnd"/>
      <w:r w:rsidRPr="0063633D">
        <w:rPr>
          <w:rFonts w:cs="UnitRoundedAt-Light"/>
          <w:color w:val="0F0F0F"/>
          <w:lang w:val="en-US"/>
        </w:rPr>
        <w:t xml:space="preserve"> More for Climate) in support of young entrepreneurs, women entrepreneurs and community enterprises. In particular, TBG will facilitate the development and validation of business models that link companies to smallholder farmers to jointly look for sustainable and resilient production models which diversify the local economy, increase the climate resilience of the landscape as a whole and reduce greenhouse gas emissions.</w:t>
      </w:r>
    </w:p>
    <w:p w14:paraId="00508566" w14:textId="77777777" w:rsidR="00C25EF7" w:rsidRPr="00C25EF7" w:rsidRDefault="00C25EF7" w:rsidP="00AF2576">
      <w:pPr>
        <w:rPr>
          <w:lang w:val="en-US" w:eastAsia="nl-NL"/>
        </w:rPr>
      </w:pPr>
    </w:p>
    <w:p w14:paraId="2C1A4391" w14:textId="4F131F0A" w:rsidR="00F6756E" w:rsidRDefault="003F183D" w:rsidP="00AF2576">
      <w:pPr>
        <w:pStyle w:val="Kop1"/>
      </w:pPr>
      <w:r w:rsidRPr="0063633D">
        <w:rPr>
          <w:rFonts w:asciiTheme="minorHAnsi" w:hAnsiTheme="minorHAnsi"/>
          <w:noProof/>
        </w:rPr>
        <w:drawing>
          <wp:anchor distT="0" distB="0" distL="114300" distR="114300" simplePos="0" relativeHeight="251671552" behindDoc="0" locked="0" layoutInCell="1" allowOverlap="1" wp14:anchorId="06259D4C" wp14:editId="2B9AAB02">
            <wp:simplePos x="0" y="0"/>
            <wp:positionH relativeFrom="margin">
              <wp:align>left</wp:align>
            </wp:positionH>
            <wp:positionV relativeFrom="margin">
              <wp:posOffset>3253740</wp:posOffset>
            </wp:positionV>
            <wp:extent cx="5652770" cy="4369435"/>
            <wp:effectExtent l="0" t="0" r="5080" b="0"/>
            <wp:wrapSquare wrapText="bothSides"/>
            <wp:docPr id="3" name="Picture 3" descr="https://upload.wikimedia.org/wikipedia/commons/a/ac/Western_Ghana_distri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a/ac/Western_Ghana_district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770" cy="436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56E">
        <w:t>map of the landscape</w:t>
      </w:r>
    </w:p>
    <w:p w14:paraId="069EDD49" w14:textId="2D346BAA" w:rsidR="00C25EF7" w:rsidRDefault="00C25EF7" w:rsidP="00AF2576">
      <w:pPr>
        <w:rPr>
          <w:lang w:val="en-GB" w:eastAsia="nl-NL"/>
        </w:rPr>
      </w:pPr>
    </w:p>
    <w:p w14:paraId="13CA0ACE" w14:textId="77777777" w:rsidR="008277F8" w:rsidRDefault="008277F8">
      <w:pPr>
        <w:spacing w:line="240" w:lineRule="auto"/>
        <w:rPr>
          <w:rFonts w:ascii="Aileron Bold" w:eastAsia="Arial" w:hAnsi="Aileron Bold" w:cs="Arial"/>
          <w:b/>
          <w:caps/>
          <w:color w:val="003F79"/>
          <w:kern w:val="32"/>
          <w:szCs w:val="32"/>
          <w:lang w:val="en-GB" w:eastAsia="nl-NL"/>
        </w:rPr>
      </w:pPr>
      <w:r w:rsidRPr="00DA0F28">
        <w:rPr>
          <w:lang w:val="en-US"/>
        </w:rPr>
        <w:br w:type="page"/>
      </w:r>
    </w:p>
    <w:p w14:paraId="490D2FBE" w14:textId="77777777" w:rsidR="00F6756E" w:rsidRDefault="00F6756E" w:rsidP="00AF2576">
      <w:pPr>
        <w:pStyle w:val="Kop1"/>
      </w:pPr>
      <w:r>
        <w:lastRenderedPageBreak/>
        <w:t>Partner Description</w:t>
      </w:r>
    </w:p>
    <w:p w14:paraId="6461FBAA" w14:textId="77777777" w:rsidR="003F183D" w:rsidRDefault="003F183D" w:rsidP="00AF2576">
      <w:pPr>
        <w:pStyle w:val="Tabletext"/>
        <w:spacing w:line="276" w:lineRule="auto"/>
        <w:jc w:val="both"/>
        <w:rPr>
          <w:rFonts w:ascii="Aileron" w:eastAsiaTheme="minorHAnsi" w:hAnsi="Aileron" w:cs="UnitRoundedAt-Light"/>
          <w:color w:val="0F0F0F"/>
          <w:sz w:val="20"/>
          <w:szCs w:val="20"/>
          <w:lang w:val="en-US"/>
        </w:rPr>
      </w:pPr>
    </w:p>
    <w:p w14:paraId="19ED5AA0" w14:textId="679F468A" w:rsidR="00FE40D7" w:rsidRPr="00FE40D7" w:rsidRDefault="00FE40D7" w:rsidP="00AF2576">
      <w:pPr>
        <w:pStyle w:val="Tabletext"/>
        <w:spacing w:line="276" w:lineRule="auto"/>
        <w:jc w:val="both"/>
        <w:rPr>
          <w:rFonts w:ascii="Aileron" w:eastAsiaTheme="minorHAnsi" w:hAnsi="Aileron" w:cs="UnitRoundedAt-Light"/>
          <w:color w:val="0F0F0F"/>
          <w:sz w:val="20"/>
          <w:szCs w:val="20"/>
          <w:lang w:val="en-US"/>
        </w:rPr>
      </w:pPr>
      <w:proofErr w:type="spellStart"/>
      <w:r w:rsidRPr="00FE40D7">
        <w:rPr>
          <w:rFonts w:ascii="Aileron" w:eastAsiaTheme="minorHAnsi" w:hAnsi="Aileron" w:cs="UnitRoundedAt-Light"/>
          <w:color w:val="0F0F0F"/>
          <w:sz w:val="20"/>
          <w:szCs w:val="20"/>
          <w:lang w:val="en-US"/>
        </w:rPr>
        <w:t>Tropenbos</w:t>
      </w:r>
      <w:proofErr w:type="spellEnd"/>
      <w:r w:rsidRPr="00FE40D7">
        <w:rPr>
          <w:rFonts w:ascii="Aileron" w:eastAsiaTheme="minorHAnsi" w:hAnsi="Aileron" w:cs="UnitRoundedAt-Light"/>
          <w:color w:val="0F0F0F"/>
          <w:sz w:val="20"/>
          <w:szCs w:val="20"/>
          <w:lang w:val="en-US"/>
        </w:rPr>
        <w:t xml:space="preserve"> Ghana (TBG) is a nationally registered NGO established in 2001 in response to problems related to sustainable management of Ghana’s forests. TBG is part of a wider network, </w:t>
      </w:r>
      <w:proofErr w:type="spellStart"/>
      <w:r w:rsidRPr="00FE40D7">
        <w:rPr>
          <w:rFonts w:ascii="Aileron" w:eastAsiaTheme="minorHAnsi" w:hAnsi="Aileron" w:cs="UnitRoundedAt-Light"/>
          <w:color w:val="0F0F0F"/>
          <w:sz w:val="20"/>
          <w:szCs w:val="20"/>
          <w:lang w:val="en-US"/>
        </w:rPr>
        <w:t>Tropenbos</w:t>
      </w:r>
      <w:proofErr w:type="spellEnd"/>
      <w:r w:rsidRPr="00FE40D7">
        <w:rPr>
          <w:rFonts w:ascii="Aileron" w:eastAsiaTheme="minorHAnsi" w:hAnsi="Aileron" w:cs="UnitRoundedAt-Light"/>
          <w:color w:val="0F0F0F"/>
          <w:sz w:val="20"/>
          <w:szCs w:val="20"/>
          <w:lang w:val="en-US"/>
        </w:rPr>
        <w:t xml:space="preserve"> International, headquartered in the Netherlands. TBG’s vision is to be ‘a leading organization that influences forest policy and practice for enhanced livelihoods and sustainable development’. We also serve as knowledge broker in Ghana’s forest sector, engaged in quality research, capacity building, evidence-based stakeholder dialogue and information take-up for sustainable forest management, integrated landscape approach to climate resilient landscapes and forest-based livelihoods.</w:t>
      </w:r>
    </w:p>
    <w:p w14:paraId="41BA745B" w14:textId="77777777" w:rsidR="00FE40D7" w:rsidRPr="00FE40D7" w:rsidRDefault="00FE40D7" w:rsidP="00AF2576">
      <w:pPr>
        <w:jc w:val="both"/>
        <w:rPr>
          <w:rFonts w:cs="UnitRoundedAt-Light"/>
          <w:color w:val="0F0F0F"/>
          <w:szCs w:val="20"/>
          <w:lang w:val="en-US"/>
        </w:rPr>
      </w:pPr>
    </w:p>
    <w:p w14:paraId="290EA4CC" w14:textId="77777777" w:rsidR="00FE40D7" w:rsidRPr="00FE40D7" w:rsidRDefault="00FE40D7" w:rsidP="00AF2576">
      <w:pPr>
        <w:jc w:val="both"/>
        <w:rPr>
          <w:rFonts w:cs="UnitRoundedAt-Light"/>
          <w:color w:val="0F0F0F"/>
          <w:szCs w:val="20"/>
          <w:lang w:val="en-US"/>
        </w:rPr>
      </w:pPr>
      <w:r w:rsidRPr="00FE40D7">
        <w:rPr>
          <w:rFonts w:cs="UnitRoundedAt-Light"/>
          <w:color w:val="0F0F0F"/>
          <w:szCs w:val="20"/>
          <w:lang w:val="en-US"/>
        </w:rPr>
        <w:t xml:space="preserve">TBG strives to make knowledge work for forests and people by advocating for biodiversity conservation in support of forest dependents livelihoods and provision of ecosystem services, inclusive climate smart landscapes for adaptation and mitigation of climate change impacts. </w:t>
      </w:r>
    </w:p>
    <w:p w14:paraId="31D4E281" w14:textId="77777777" w:rsidR="00FE40D7" w:rsidRPr="00FE40D7" w:rsidRDefault="00FE40D7" w:rsidP="00AF2576">
      <w:pPr>
        <w:jc w:val="both"/>
        <w:rPr>
          <w:rFonts w:cs="UnitRoundedAt-Light"/>
          <w:color w:val="0F0F0F"/>
          <w:szCs w:val="20"/>
          <w:lang w:val="en-US"/>
        </w:rPr>
      </w:pPr>
    </w:p>
    <w:p w14:paraId="4F0231C6" w14:textId="77777777" w:rsidR="00FE40D7" w:rsidRPr="00FE40D7" w:rsidRDefault="00FE40D7" w:rsidP="00AF2576">
      <w:pPr>
        <w:jc w:val="both"/>
        <w:rPr>
          <w:rFonts w:cs="UnitRoundedAt-Light"/>
          <w:color w:val="0F0F0F"/>
          <w:szCs w:val="20"/>
          <w:lang w:val="en-US"/>
        </w:rPr>
      </w:pPr>
      <w:r w:rsidRPr="00FE40D7">
        <w:rPr>
          <w:rFonts w:cs="UnitRoundedAt-Light"/>
          <w:color w:val="0F0F0F"/>
          <w:szCs w:val="20"/>
          <w:lang w:val="en-US"/>
        </w:rPr>
        <w:t xml:space="preserve">Over the past ten (10) years, TBG works towards the sustainable management and restoration of the </w:t>
      </w:r>
      <w:proofErr w:type="spellStart"/>
      <w:r w:rsidRPr="00FE40D7">
        <w:rPr>
          <w:rFonts w:cs="UnitRoundedAt-Light"/>
          <w:color w:val="0F0F0F"/>
          <w:szCs w:val="20"/>
          <w:lang w:val="en-US"/>
        </w:rPr>
        <w:t>Juabeso</w:t>
      </w:r>
      <w:proofErr w:type="spellEnd"/>
      <w:r w:rsidRPr="00FE40D7">
        <w:rPr>
          <w:rFonts w:cs="UnitRoundedAt-Light"/>
          <w:color w:val="0F0F0F"/>
          <w:szCs w:val="20"/>
          <w:lang w:val="en-US"/>
        </w:rPr>
        <w:t xml:space="preserve">-Bia and </w:t>
      </w:r>
      <w:proofErr w:type="spellStart"/>
      <w:r w:rsidRPr="00FE40D7">
        <w:rPr>
          <w:rFonts w:cs="UnitRoundedAt-Light"/>
          <w:color w:val="0F0F0F"/>
          <w:szCs w:val="20"/>
          <w:lang w:val="en-US"/>
        </w:rPr>
        <w:t>Sefwi-Wiawso</w:t>
      </w:r>
      <w:proofErr w:type="spellEnd"/>
      <w:r w:rsidRPr="00FE40D7">
        <w:rPr>
          <w:rFonts w:cs="UnitRoundedAt-Light"/>
          <w:color w:val="0F0F0F"/>
          <w:szCs w:val="20"/>
          <w:lang w:val="en-US"/>
        </w:rPr>
        <w:t xml:space="preserve"> landscapes through inclusive decision making and sustainable incentives involving local communities, smallholder cocoa farmers, the government at all levels and the private sector in making the landscape a climate resilient one by advocating for climate smart standards. Its main target groups are those policy makers, state agencies, private sector players, civil society organizations, local communities, small-holder farmers, land owners/traditional authorities, and women &amp; youth groups that are stakeholders in these landscapes. Its annual budget is approximated 1.5 million Euros. </w:t>
      </w:r>
    </w:p>
    <w:p w14:paraId="4A8C47F1" w14:textId="77777777" w:rsidR="008E1239" w:rsidRPr="003F183D" w:rsidRDefault="008E1239" w:rsidP="003F183D">
      <w:pPr>
        <w:pStyle w:val="Kop2"/>
      </w:pPr>
      <w:r w:rsidRPr="003F183D">
        <w:t>Gender Responsiveness of TBG Activities</w:t>
      </w:r>
    </w:p>
    <w:p w14:paraId="223C5AA3" w14:textId="02B0B85A" w:rsidR="00FE40D7" w:rsidRPr="003F183D" w:rsidRDefault="008E1239" w:rsidP="008E1239">
      <w:pPr>
        <w:jc w:val="both"/>
        <w:rPr>
          <w:rFonts w:cs="UnitRoundedAt-Light"/>
          <w:szCs w:val="20"/>
          <w:lang w:val="en-US"/>
        </w:rPr>
      </w:pPr>
      <w:r w:rsidRPr="003F183D">
        <w:rPr>
          <w:rFonts w:cs="UnitRoundedAt-Light"/>
          <w:szCs w:val="20"/>
          <w:lang w:val="en-US"/>
        </w:rPr>
        <w:t>Gender mainstreaming: TBG has benefited from the gender consultancy/training of the Green Livelihoods Alliance programme in 2018. Since then, TBG has appointed a gender focal person who support the planning of project activities to ensure inclusiveness of all relevant stakeholders especially women and youth. As much as possible TBG involves men, women and youth in the design, planning, implementation and monitoring of programmes and activities at the organizational and landscape levels. Gender and youth segregated data are collated for all activities to understand the trends so that measures could be put in place to address inequities. Finally, project reports are developed to present process as well as results of our interventions on the stakeholders especially women and youth in the project intervention areas. The gender focal person also facilitated programmes with CSO platforms to ensure that e.g., the FLEGT-VPA process in Ghana is mainstreaming gender issues at all levels. TBG has organised gender capacity programmes for landscape level stakeholders and promotes the inclusion of both elderly and young women in cocoa forest landscape discussions. TBG also ensures that the perception of women is included, e.g. in the tree tenure and benefit sharing discussions, builds capacities of women in leadership and group dynamics, and makes deliberate efforts to involve women in situations where we observe that they are not adequately represented or actively participating.</w:t>
      </w:r>
    </w:p>
    <w:p w14:paraId="006DF3AA" w14:textId="77777777" w:rsidR="00AF2576" w:rsidRPr="003F183D" w:rsidRDefault="00AF2576" w:rsidP="008E1239">
      <w:pPr>
        <w:jc w:val="both"/>
        <w:rPr>
          <w:rFonts w:cs="UnitRoundedAt-Light"/>
          <w:szCs w:val="20"/>
          <w:lang w:val="en-US"/>
        </w:rPr>
        <w:sectPr w:rsidR="00AF2576" w:rsidRPr="003F183D" w:rsidSect="00AA063E">
          <w:headerReference w:type="default" r:id="rId13"/>
          <w:footerReference w:type="default" r:id="rId14"/>
          <w:headerReference w:type="first" r:id="rId15"/>
          <w:footerReference w:type="first" r:id="rId16"/>
          <w:pgSz w:w="11906" w:h="16838"/>
          <w:pgMar w:top="2098" w:right="1247" w:bottom="2183" w:left="1247" w:header="0" w:footer="403" w:gutter="0"/>
          <w:cols w:space="720"/>
          <w:titlePg/>
          <w:docGrid w:linePitch="360"/>
        </w:sectPr>
      </w:pPr>
    </w:p>
    <w:p w14:paraId="15296912" w14:textId="3D2967A6" w:rsidR="00656C8D" w:rsidRDefault="00F6756E" w:rsidP="00AF2576">
      <w:pPr>
        <w:pStyle w:val="Kop1"/>
      </w:pPr>
      <w:r>
        <w:lastRenderedPageBreak/>
        <w:t>toc</w:t>
      </w:r>
      <w:r w:rsidR="00564EDC">
        <w:rPr>
          <w:noProof/>
          <w:lang w:val="nl-NL"/>
        </w:rPr>
        <w:drawing>
          <wp:inline distT="0" distB="0" distL="0" distR="0" wp14:anchorId="787A1674" wp14:editId="1989543D">
            <wp:extent cx="7973695" cy="448500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ToC. BL ESM BL (2).jpg"/>
                    <pic:cNvPicPr/>
                  </pic:nvPicPr>
                  <pic:blipFill>
                    <a:blip r:embed="rId17">
                      <a:extLst>
                        <a:ext uri="{28A0092B-C50C-407E-A947-70E740481C1C}">
                          <a14:useLocalDpi xmlns:a14="http://schemas.microsoft.com/office/drawing/2010/main" val="0"/>
                        </a:ext>
                      </a:extLst>
                    </a:blip>
                    <a:stretch>
                      <a:fillRect/>
                    </a:stretch>
                  </pic:blipFill>
                  <pic:spPr>
                    <a:xfrm>
                      <a:off x="0" y="0"/>
                      <a:ext cx="7973695" cy="4485005"/>
                    </a:xfrm>
                    <a:prstGeom prst="rect">
                      <a:avLst/>
                    </a:prstGeom>
                  </pic:spPr>
                </pic:pic>
              </a:graphicData>
            </a:graphic>
          </wp:inline>
        </w:drawing>
      </w:r>
    </w:p>
    <w:p w14:paraId="70B0A6BD" w14:textId="77777777" w:rsidR="00AF2576" w:rsidRPr="00DA0F28" w:rsidRDefault="00AF2576" w:rsidP="00AF2576">
      <w:pPr>
        <w:keepNext/>
        <w:rPr>
          <w:lang w:val="en-US"/>
        </w:rPr>
      </w:pPr>
    </w:p>
    <w:p w14:paraId="43F985C7" w14:textId="7B2E109D" w:rsidR="00AF2576" w:rsidRPr="00FE40D7" w:rsidRDefault="00AF2576" w:rsidP="00AF2576">
      <w:pPr>
        <w:rPr>
          <w:lang w:val="en-GB" w:eastAsia="nl-NL"/>
        </w:rPr>
      </w:pPr>
      <w:r w:rsidRPr="00AF2576">
        <w:rPr>
          <w:sz w:val="18"/>
          <w:szCs w:val="18"/>
          <w:lang w:val="en-US"/>
        </w:rPr>
        <w:t xml:space="preserve">Figure </w:t>
      </w:r>
      <w:r w:rsidRPr="00AF2576">
        <w:rPr>
          <w:sz w:val="18"/>
          <w:szCs w:val="18"/>
        </w:rPr>
        <w:fldChar w:fldCharType="begin"/>
      </w:r>
      <w:r w:rsidRPr="00AF2576">
        <w:rPr>
          <w:sz w:val="18"/>
          <w:szCs w:val="18"/>
          <w:lang w:val="en-US"/>
        </w:rPr>
        <w:instrText xml:space="preserve"> SEQ Figure \* ARABIC </w:instrText>
      </w:r>
      <w:r w:rsidRPr="00AF2576">
        <w:rPr>
          <w:sz w:val="18"/>
          <w:szCs w:val="18"/>
        </w:rPr>
        <w:fldChar w:fldCharType="separate"/>
      </w:r>
      <w:r w:rsidR="00D12D4D">
        <w:rPr>
          <w:noProof/>
          <w:sz w:val="18"/>
          <w:szCs w:val="18"/>
          <w:lang w:val="en-US"/>
        </w:rPr>
        <w:t>2</w:t>
      </w:r>
      <w:r w:rsidRPr="00AF2576">
        <w:rPr>
          <w:sz w:val="18"/>
          <w:szCs w:val="18"/>
        </w:rPr>
        <w:fldChar w:fldCharType="end"/>
      </w:r>
      <w:r w:rsidRPr="00AF2576">
        <w:rPr>
          <w:sz w:val="18"/>
          <w:szCs w:val="18"/>
          <w:lang w:val="en-US"/>
        </w:rPr>
        <w:t xml:space="preserve">: </w:t>
      </w:r>
      <w:r w:rsidRPr="00AF2576">
        <w:rPr>
          <w:rFonts w:cs="Calibri"/>
          <w:color w:val="000000"/>
          <w:kern w:val="24"/>
          <w:sz w:val="18"/>
          <w:szCs w:val="18"/>
          <w:lang w:val="en-US"/>
        </w:rPr>
        <w:t xml:space="preserve">Graphic representation of the </w:t>
      </w:r>
      <w:proofErr w:type="spellStart"/>
      <w:r w:rsidRPr="00AF2576">
        <w:rPr>
          <w:rFonts w:cs="Calibri"/>
          <w:color w:val="000000"/>
          <w:kern w:val="24"/>
          <w:sz w:val="18"/>
          <w:szCs w:val="18"/>
          <w:lang w:val="en-US"/>
        </w:rPr>
        <w:t>ToC</w:t>
      </w:r>
      <w:proofErr w:type="spellEnd"/>
      <w:r w:rsidRPr="00AF2576">
        <w:rPr>
          <w:rFonts w:cs="Calibri"/>
          <w:color w:val="000000"/>
          <w:kern w:val="24"/>
          <w:sz w:val="18"/>
          <w:szCs w:val="18"/>
          <w:lang w:val="en-US"/>
        </w:rPr>
        <w:t xml:space="preserve"> fo</w:t>
      </w:r>
      <w:r>
        <w:rPr>
          <w:rFonts w:cs="Calibri"/>
          <w:color w:val="000000"/>
          <w:kern w:val="24"/>
          <w:sz w:val="18"/>
          <w:szCs w:val="18"/>
          <w:lang w:val="en-US"/>
        </w:rPr>
        <w:t xml:space="preserve">r Ghana with the main outcomes </w:t>
      </w:r>
      <w:r w:rsidRPr="00AF2576">
        <w:rPr>
          <w:rFonts w:cs="Calibri"/>
          <w:color w:val="000000"/>
          <w:kern w:val="24"/>
          <w:sz w:val="18"/>
          <w:szCs w:val="18"/>
          <w:lang w:val="en-US"/>
        </w:rPr>
        <w:t>linking the sphere of interest to the sphere of influence; the intermediate outcomes occur within the sphere of influence and the outputs in the sphere of control.</w:t>
      </w:r>
    </w:p>
    <w:p w14:paraId="568DEEBF" w14:textId="77777777" w:rsidR="00AF2576" w:rsidRDefault="00AF2576" w:rsidP="00AF2576">
      <w:pPr>
        <w:pStyle w:val="Kop1"/>
        <w:sectPr w:rsidR="00AF2576" w:rsidSect="00AF2576">
          <w:pgSz w:w="16838" w:h="11906" w:orient="landscape"/>
          <w:pgMar w:top="1247" w:right="2098" w:bottom="1247" w:left="2183" w:header="0" w:footer="403" w:gutter="0"/>
          <w:cols w:space="720"/>
          <w:titlePg/>
          <w:docGrid w:linePitch="360"/>
        </w:sectPr>
      </w:pPr>
    </w:p>
    <w:p w14:paraId="1E0CEBDB" w14:textId="77777777" w:rsidR="00AF2576" w:rsidRPr="00AF2576" w:rsidRDefault="00FF48E8" w:rsidP="00AF2576">
      <w:pPr>
        <w:jc w:val="both"/>
        <w:rPr>
          <w:rFonts w:cs="Calibri"/>
          <w:b/>
          <w:bCs/>
          <w:lang w:val="en-US"/>
        </w:rPr>
      </w:pPr>
      <w:r>
        <w:rPr>
          <w:rFonts w:cs="Calibri"/>
          <w:b/>
          <w:bCs/>
          <w:lang w:val="en-US"/>
        </w:rPr>
        <w:lastRenderedPageBreak/>
        <w:t xml:space="preserve">TOC </w:t>
      </w:r>
      <w:r w:rsidR="00AF2576" w:rsidRPr="00AF2576">
        <w:rPr>
          <w:rFonts w:cs="Calibri"/>
          <w:b/>
          <w:bCs/>
          <w:lang w:val="en-US"/>
        </w:rPr>
        <w:t>Introduction</w:t>
      </w:r>
    </w:p>
    <w:p w14:paraId="70C0FB8F" w14:textId="77777777" w:rsidR="00AF2576" w:rsidRPr="0063633D" w:rsidRDefault="00AF2576" w:rsidP="00AF2576">
      <w:pPr>
        <w:jc w:val="both"/>
        <w:rPr>
          <w:rFonts w:cs="Calibri"/>
          <w:lang w:val="en-US"/>
        </w:rPr>
      </w:pPr>
      <w:r>
        <w:rPr>
          <w:rFonts w:cs="Calibri"/>
          <w:lang w:val="en-US"/>
        </w:rPr>
        <w:t>To address the current unsustainable situation in the JB and SW landscapes, t</w:t>
      </w:r>
      <w:r w:rsidRPr="0063633D">
        <w:rPr>
          <w:rFonts w:cs="Calibri"/>
          <w:lang w:val="en-US"/>
        </w:rPr>
        <w:t xml:space="preserve">he Mobilizing More 4 Climate Project (MoMo4C) seeks to bring together the </w:t>
      </w:r>
      <w:r w:rsidRPr="0063633D">
        <w:rPr>
          <w:rFonts w:cs="Calibri"/>
          <w:color w:val="000000"/>
          <w:kern w:val="24"/>
          <w:lang w:val="en-US"/>
        </w:rPr>
        <w:t>Public Sector (Cocoa Board, Forestry Commission, District Department of Agriculture, District Assemblies, Business Advisory Centers, Environmental Protection Agency), the Private Sector (License Buying Companies, Timber firms, Financial institutions), Community Based Organizations (CREMA, Landscape Management Board, Youth groups, women groups) and Non-Governmental Organiza</w:t>
      </w:r>
      <w:r>
        <w:rPr>
          <w:rFonts w:cs="Calibri"/>
          <w:color w:val="000000"/>
          <w:kern w:val="24"/>
          <w:lang w:val="en-US"/>
        </w:rPr>
        <w:t>tions (</w:t>
      </w:r>
      <w:proofErr w:type="spellStart"/>
      <w:r>
        <w:rPr>
          <w:rFonts w:cs="Calibri"/>
          <w:color w:val="000000"/>
          <w:kern w:val="24"/>
          <w:lang w:val="en-US"/>
        </w:rPr>
        <w:t>Tuoton</w:t>
      </w:r>
      <w:proofErr w:type="spellEnd"/>
      <w:r>
        <w:rPr>
          <w:rFonts w:cs="Calibri"/>
          <w:color w:val="000000"/>
          <w:kern w:val="24"/>
          <w:lang w:val="en-US"/>
        </w:rPr>
        <w:t xml:space="preserve">, SNV, CA, </w:t>
      </w:r>
      <w:proofErr w:type="spellStart"/>
      <w:r>
        <w:rPr>
          <w:rFonts w:cs="Calibri"/>
          <w:color w:val="000000"/>
          <w:kern w:val="24"/>
          <w:lang w:val="en-US"/>
        </w:rPr>
        <w:t>AgroEco</w:t>
      </w:r>
      <w:proofErr w:type="spellEnd"/>
      <w:r w:rsidRPr="0063633D">
        <w:rPr>
          <w:rFonts w:cs="Calibri"/>
          <w:color w:val="000000"/>
          <w:kern w:val="24"/>
          <w:lang w:val="en-US"/>
        </w:rPr>
        <w:t>,</w:t>
      </w:r>
      <w:r>
        <w:rPr>
          <w:rFonts w:cs="Calibri"/>
          <w:color w:val="000000"/>
          <w:kern w:val="24"/>
          <w:lang w:val="en-US"/>
        </w:rPr>
        <w:t xml:space="preserve"> </w:t>
      </w:r>
      <w:r w:rsidRPr="0063633D">
        <w:rPr>
          <w:rFonts w:cs="Calibri"/>
          <w:color w:val="000000"/>
          <w:kern w:val="24"/>
          <w:lang w:val="en-US"/>
        </w:rPr>
        <w:t xml:space="preserve">NCRC, </w:t>
      </w:r>
      <w:proofErr w:type="spellStart"/>
      <w:r w:rsidRPr="0063633D">
        <w:rPr>
          <w:rFonts w:cs="Calibri"/>
          <w:color w:val="000000"/>
          <w:kern w:val="24"/>
          <w:lang w:val="en-US"/>
        </w:rPr>
        <w:t>Solidaridad</w:t>
      </w:r>
      <w:proofErr w:type="spellEnd"/>
      <w:r w:rsidRPr="0063633D">
        <w:rPr>
          <w:rFonts w:cs="Calibri"/>
          <w:color w:val="000000"/>
          <w:kern w:val="24"/>
          <w:lang w:val="en-US"/>
        </w:rPr>
        <w:t>)</w:t>
      </w:r>
      <w:r w:rsidRPr="0063633D">
        <w:rPr>
          <w:rFonts w:cs="Calibri"/>
          <w:lang w:val="en-US"/>
        </w:rPr>
        <w:t xml:space="preserve"> to develop a landscape level action plan that will tackle the impacts and causes of climate change in the JB and SW landscapes. This landscape level action plan will take into consideration Ghana’s policy direction and related actions such as the Ghana National Climate Change Policy, the National REDD+ strategy and Nationally Determined Contributions (NDCs) and other complementing policies to curtail the impact of climate change. </w:t>
      </w:r>
    </w:p>
    <w:p w14:paraId="367F9655" w14:textId="77777777" w:rsidR="00AF2576" w:rsidRPr="0063633D" w:rsidRDefault="00AF2576" w:rsidP="00AF2576">
      <w:pPr>
        <w:jc w:val="both"/>
        <w:rPr>
          <w:rFonts w:cs="Calibri"/>
          <w:lang w:val="en-US"/>
        </w:rPr>
      </w:pPr>
    </w:p>
    <w:p w14:paraId="57B71E9B" w14:textId="4487B1A5" w:rsidR="00AF2576" w:rsidRDefault="00AF2576" w:rsidP="00AF2576">
      <w:pPr>
        <w:jc w:val="both"/>
        <w:rPr>
          <w:rFonts w:cs="Calibri"/>
          <w:lang w:val="en-US"/>
        </w:rPr>
      </w:pPr>
      <w:r w:rsidRPr="0063633D">
        <w:rPr>
          <w:rFonts w:cs="Calibri"/>
          <w:lang w:val="en-US"/>
        </w:rPr>
        <w:t>In particular the MoMo4C project will support climate resilient actions that contribute to Ghana’s NDC goals of (a) reforestation/afforestation of degraded lands</w:t>
      </w:r>
      <w:r w:rsidRPr="0063633D">
        <w:rPr>
          <w:rFonts w:cs="Calibri"/>
          <w:vertAlign w:val="superscript"/>
        </w:rPr>
        <w:footnoteReference w:id="2"/>
      </w:r>
      <w:r w:rsidRPr="0063633D">
        <w:rPr>
          <w:rFonts w:cs="Calibri"/>
          <w:lang w:val="en-US"/>
        </w:rPr>
        <w:t xml:space="preserve"> (b) agricultural resilience building in climate-vulnerable landscapes through community-based conservation agriculture</w:t>
      </w:r>
      <w:r w:rsidRPr="0063633D">
        <w:rPr>
          <w:rFonts w:cs="Calibri"/>
          <w:vertAlign w:val="superscript"/>
        </w:rPr>
        <w:footnoteReference w:id="3"/>
      </w:r>
      <w:r w:rsidRPr="0063633D">
        <w:rPr>
          <w:rFonts w:cs="Calibri"/>
          <w:lang w:val="en-US"/>
        </w:rPr>
        <w:t xml:space="preserve"> (c) value addition based on sustainable utilization of natural resources and (d) resilience for vulnerable groups (women and youth)</w:t>
      </w:r>
      <w:r>
        <w:rPr>
          <w:rFonts w:cs="Calibri"/>
          <w:lang w:val="en-US"/>
        </w:rPr>
        <w:t xml:space="preserve">. For that, MoMo4C will link local and </w:t>
      </w:r>
      <w:r w:rsidR="00450E9B">
        <w:rPr>
          <w:rFonts w:cs="Calibri"/>
          <w:lang w:val="en-US"/>
        </w:rPr>
        <w:t>community-based</w:t>
      </w:r>
      <w:r>
        <w:rPr>
          <w:rFonts w:cs="Calibri"/>
          <w:lang w:val="en-US"/>
        </w:rPr>
        <w:t xml:space="preserve"> </w:t>
      </w:r>
      <w:r w:rsidRPr="0063633D">
        <w:rPr>
          <w:rFonts w:cs="Calibri"/>
          <w:lang w:val="en-US"/>
        </w:rPr>
        <w:t>entrepreneurs</w:t>
      </w:r>
      <w:r>
        <w:rPr>
          <w:rFonts w:cs="Calibri"/>
          <w:lang w:val="en-US"/>
        </w:rPr>
        <w:t xml:space="preserve"> and</w:t>
      </w:r>
      <w:r w:rsidRPr="0063633D">
        <w:rPr>
          <w:rFonts w:cs="Calibri"/>
          <w:lang w:val="en-US"/>
        </w:rPr>
        <w:t xml:space="preserve"> companies with </w:t>
      </w:r>
      <w:r>
        <w:rPr>
          <w:rFonts w:cs="Calibri"/>
          <w:lang w:val="en-US"/>
        </w:rPr>
        <w:t xml:space="preserve">the </w:t>
      </w:r>
      <w:r w:rsidRPr="0063633D">
        <w:rPr>
          <w:rFonts w:cs="Calibri"/>
          <w:lang w:val="en-US"/>
        </w:rPr>
        <w:t xml:space="preserve">potential </w:t>
      </w:r>
      <w:r>
        <w:rPr>
          <w:rFonts w:cs="Calibri"/>
          <w:lang w:val="en-US"/>
        </w:rPr>
        <w:t xml:space="preserve">to develop or strengthen their </w:t>
      </w:r>
      <w:r w:rsidRPr="0063633D">
        <w:rPr>
          <w:rFonts w:cs="Calibri"/>
          <w:lang w:val="en-US"/>
        </w:rPr>
        <w:t>climate resilient business with possible investors</w:t>
      </w:r>
      <w:r>
        <w:rPr>
          <w:rFonts w:cs="Calibri"/>
          <w:lang w:val="en-US"/>
        </w:rPr>
        <w:t>. Working together</w:t>
      </w:r>
      <w:r w:rsidRPr="0063633D">
        <w:rPr>
          <w:rFonts w:cs="Calibri"/>
          <w:lang w:val="en-US"/>
        </w:rPr>
        <w:t xml:space="preserve"> t</w:t>
      </w:r>
      <w:r>
        <w:rPr>
          <w:rFonts w:cs="Calibri"/>
          <w:lang w:val="en-US"/>
        </w:rPr>
        <w:t>hey will</w:t>
      </w:r>
      <w:r w:rsidRPr="0063633D">
        <w:rPr>
          <w:rFonts w:cs="Calibri"/>
          <w:lang w:val="en-US"/>
        </w:rPr>
        <w:t xml:space="preserve"> further strengthen the</w:t>
      </w:r>
      <w:r>
        <w:rPr>
          <w:rFonts w:cs="Calibri"/>
          <w:lang w:val="en-US"/>
        </w:rPr>
        <w:t>ir</w:t>
      </w:r>
      <w:r w:rsidRPr="0063633D">
        <w:rPr>
          <w:rFonts w:cs="Calibri"/>
          <w:lang w:val="en-US"/>
        </w:rPr>
        <w:t xml:space="preserve"> business propositions and ensure a positive climate, environmental, economic and social impact at a landscape level. </w:t>
      </w:r>
    </w:p>
    <w:p w14:paraId="271E1772" w14:textId="77777777" w:rsidR="00AF2576" w:rsidRPr="0063633D" w:rsidRDefault="00AF2576" w:rsidP="00AF2576">
      <w:pPr>
        <w:jc w:val="both"/>
        <w:rPr>
          <w:rFonts w:cs="Calibri"/>
          <w:lang w:val="en-US"/>
        </w:rPr>
      </w:pPr>
    </w:p>
    <w:p w14:paraId="487642E9" w14:textId="77777777" w:rsidR="00AF2576" w:rsidRPr="0063633D" w:rsidRDefault="00FF48E8" w:rsidP="00AF2576">
      <w:pPr>
        <w:jc w:val="both"/>
        <w:rPr>
          <w:rFonts w:cs="Calibri"/>
          <w:b/>
          <w:bCs/>
          <w:lang w:val="en-US"/>
        </w:rPr>
      </w:pPr>
      <w:r>
        <w:rPr>
          <w:rFonts w:cs="Calibri"/>
          <w:b/>
          <w:bCs/>
          <w:lang w:val="en-US"/>
        </w:rPr>
        <w:t xml:space="preserve">TOC </w:t>
      </w:r>
      <w:r w:rsidR="00AF2576" w:rsidRPr="0063633D">
        <w:rPr>
          <w:rFonts w:cs="Calibri"/>
          <w:b/>
          <w:bCs/>
          <w:lang w:val="en-US"/>
        </w:rPr>
        <w:t>Vision</w:t>
      </w:r>
    </w:p>
    <w:p w14:paraId="6FE1033D" w14:textId="77777777" w:rsidR="00B12D82" w:rsidRPr="00F410BC" w:rsidRDefault="00B12D82" w:rsidP="00B12D82">
      <w:pPr>
        <w:jc w:val="both"/>
        <w:rPr>
          <w:rFonts w:cs="Calibri"/>
          <w:lang w:val="en-GB"/>
        </w:rPr>
      </w:pPr>
      <w:r w:rsidRPr="00F410BC">
        <w:rPr>
          <w:rFonts w:cs="Calibri"/>
          <w:lang w:val="en-GB"/>
        </w:rPr>
        <w:t>MoMo4C will create a sustainable, climate-resilient landscape by strengthening multiple landscape actors to acknowledge and practice climate-proof activities to improve their livelihoods and ecosystem services provided by the environment. It will also build landscape resilience in the phase of climate change by improving adoptive and mitigation capacities of state and non-state actors in JB and SW landscape by ensuring sustained livelihoods, enhanced ecosystem services and improved actions towards the sustainable development goals (SDGs). Overall MoMo4C will promote climate resilient business cases, entrepreneurs and collectives of smallholders in JB and SW landscape to access public and private finance to bridge the gap between project developers, entrepreneurs and investors in order to improve ecosystems impacted by climate change, while generating financial returns contribution to improving livelihood income and conditions. MoMo4C will identify, redirect and increase sustainable investment flows into the JB and SW landscape to enhance sustainable, climate-proof actions and businesses.  In addition, MoMo4C will assist business case proponents in achieving scale for their ideas and develop profitable business cases. Both investors and project developers will be trained and learn from each other. Successful business cases will then be linked to potential suitable investors for implementation and scaling.</w:t>
      </w:r>
    </w:p>
    <w:p w14:paraId="04114DA1" w14:textId="77777777" w:rsidR="00AF2576" w:rsidRPr="0063633D" w:rsidRDefault="00AF2576" w:rsidP="00AF2576">
      <w:pPr>
        <w:jc w:val="both"/>
        <w:rPr>
          <w:rFonts w:cs="Calibri"/>
          <w:lang w:val="en-US"/>
        </w:rPr>
      </w:pPr>
    </w:p>
    <w:p w14:paraId="26DBC313" w14:textId="77777777" w:rsidR="00AF2576" w:rsidRPr="0063633D" w:rsidRDefault="00FF48E8" w:rsidP="00AF2576">
      <w:pPr>
        <w:tabs>
          <w:tab w:val="left" w:pos="3383"/>
        </w:tabs>
        <w:jc w:val="both"/>
        <w:rPr>
          <w:rFonts w:cs="Calibri"/>
          <w:b/>
          <w:bCs/>
          <w:lang w:val="en-US"/>
        </w:rPr>
      </w:pPr>
      <w:r>
        <w:rPr>
          <w:rFonts w:cs="Calibri"/>
          <w:b/>
          <w:bCs/>
          <w:lang w:val="en-US"/>
        </w:rPr>
        <w:t xml:space="preserve">TOC </w:t>
      </w:r>
      <w:r w:rsidR="00AF2576" w:rsidRPr="0063633D">
        <w:rPr>
          <w:rFonts w:cs="Calibri"/>
          <w:b/>
          <w:bCs/>
          <w:lang w:val="en-US"/>
        </w:rPr>
        <w:t>Pathways to Climate Resilient Businesses in JB and SW Landscape</w:t>
      </w:r>
    </w:p>
    <w:p w14:paraId="5EB4E4F8" w14:textId="77777777" w:rsidR="00BE50BB" w:rsidRPr="00F410BC" w:rsidRDefault="00BE50BB" w:rsidP="00BE50BB">
      <w:pPr>
        <w:tabs>
          <w:tab w:val="left" w:pos="3383"/>
        </w:tabs>
        <w:jc w:val="both"/>
        <w:rPr>
          <w:lang w:val="en-GB"/>
        </w:rPr>
      </w:pPr>
      <w:r w:rsidRPr="00F410BC">
        <w:rPr>
          <w:rFonts w:cs="Calibri"/>
          <w:lang w:val="en-GB"/>
        </w:rPr>
        <w:t xml:space="preserve">MoMo4C will target entrepreneurs, CSOs, value chain companies, financial institutions, government agencies, multi-stakeholder platforms, CBOs, traditional authorities and LBCs and other relevant stakeholders in the JB and SW landscape with specific focus and equal opportunities for women and youth entrepreneurs and those from local communities. </w:t>
      </w:r>
      <w:r w:rsidRPr="00F410BC">
        <w:rPr>
          <w:lang w:val="en-GB"/>
        </w:rPr>
        <w:t xml:space="preserve">MoMo4C will work with the assumption that, sustainable finance/investment is limited in the JB &amp; SW landscape to achieve climate resilient actions and that, there is the need to identify, redirect and increase finance/investments with support from the public and private sector to create the enabling conditions needed to </w:t>
      </w:r>
      <w:r w:rsidRPr="00F410BC">
        <w:rPr>
          <w:lang w:val="en-GB"/>
        </w:rPr>
        <w:lastRenderedPageBreak/>
        <w:t xml:space="preserve">strengthened climate resilient actions and generate enough relevant information to inform policies, practices and standards. </w:t>
      </w:r>
    </w:p>
    <w:p w14:paraId="5CC0EB0A" w14:textId="3EDC10B7" w:rsidR="00BE50BB" w:rsidRDefault="00BE50BB" w:rsidP="00BE50BB">
      <w:pPr>
        <w:tabs>
          <w:tab w:val="left" w:pos="3383"/>
        </w:tabs>
        <w:jc w:val="both"/>
        <w:rPr>
          <w:rFonts w:cs="Calibri"/>
          <w:lang w:val="en-GB"/>
        </w:rPr>
      </w:pPr>
      <w:r w:rsidRPr="00F410BC">
        <w:rPr>
          <w:lang w:val="en-GB"/>
        </w:rPr>
        <w:t xml:space="preserve">Based on the above, </w:t>
      </w:r>
      <w:proofErr w:type="spellStart"/>
      <w:r w:rsidRPr="00F410BC">
        <w:rPr>
          <w:lang w:val="en-GB"/>
        </w:rPr>
        <w:t>Tropenbos</w:t>
      </w:r>
      <w:proofErr w:type="spellEnd"/>
      <w:r w:rsidRPr="00F410BC">
        <w:rPr>
          <w:lang w:val="en-GB"/>
        </w:rPr>
        <w:t xml:space="preserve"> Ghana has defined three main outcomes</w:t>
      </w:r>
      <w:r w:rsidRPr="00F410BC">
        <w:rPr>
          <w:color w:val="000000"/>
          <w:kern w:val="24"/>
          <w:lang w:val="en-GB"/>
        </w:rPr>
        <w:t xml:space="preserve"> to ensure inclusive climate resilient landscapes where multi-stakeholders manage the role ecosystem play in sustainable development pathways, and climate adaptation and mitigation</w:t>
      </w:r>
      <w:r w:rsidRPr="00F410BC">
        <w:rPr>
          <w:lang w:val="en-GB"/>
        </w:rPr>
        <w:t xml:space="preserve"> for the JB and SW landscape. There are also some intermediate outcomes which will contribute to achieving the overall strategic outcomes.</w:t>
      </w:r>
      <w:r w:rsidRPr="00F410BC">
        <w:rPr>
          <w:rFonts w:cs="Calibri"/>
          <w:lang w:val="en-GB"/>
        </w:rPr>
        <w:t xml:space="preserve"> </w:t>
      </w:r>
    </w:p>
    <w:p w14:paraId="75696C66" w14:textId="77777777" w:rsidR="00F410BC" w:rsidRPr="00F410BC" w:rsidRDefault="00F410BC" w:rsidP="00BE50BB">
      <w:pPr>
        <w:tabs>
          <w:tab w:val="left" w:pos="3383"/>
        </w:tabs>
        <w:jc w:val="both"/>
        <w:rPr>
          <w:rFonts w:cs="Calibri"/>
          <w:lang w:val="en-GB"/>
        </w:rPr>
      </w:pPr>
    </w:p>
    <w:p w14:paraId="7005BC84" w14:textId="3B6981CC" w:rsidR="00BE50BB" w:rsidRPr="00F410BC" w:rsidRDefault="00F410BC" w:rsidP="00F410BC">
      <w:pPr>
        <w:ind w:left="1701" w:hanging="1701"/>
        <w:rPr>
          <w:rFonts w:cs="Calibri"/>
          <w:u w:val="single"/>
          <w:lang w:val="en-US"/>
        </w:rPr>
      </w:pPr>
      <w:bookmarkStart w:id="0" w:name="_Hlk25072119"/>
      <w:r>
        <w:rPr>
          <w:rFonts w:cs="Calibri"/>
          <w:u w:val="single"/>
          <w:lang w:val="en-US"/>
        </w:rPr>
        <w:t xml:space="preserve">Main Outcome </w:t>
      </w:r>
      <w:r w:rsidRPr="00F410BC">
        <w:rPr>
          <w:rFonts w:cs="Calibri"/>
          <w:u w:val="single"/>
          <w:lang w:val="en-US"/>
        </w:rPr>
        <w:t xml:space="preserve">1) </w:t>
      </w:r>
      <w:r>
        <w:rPr>
          <w:rFonts w:cs="Calibri"/>
          <w:u w:val="single"/>
          <w:lang w:val="en-US"/>
        </w:rPr>
        <w:tab/>
      </w:r>
      <w:r w:rsidR="00BE50BB" w:rsidRPr="00F410BC">
        <w:rPr>
          <w:rFonts w:cs="Calibri"/>
          <w:u w:val="single"/>
          <w:lang w:val="en-US"/>
        </w:rPr>
        <w:t>Multiple Landscape Actors Formulate and Adopt Inclusive Priority Climate Action Plan for the JB &amp; SW Landscapes, consistent with broader, green</w:t>
      </w:r>
      <w:r w:rsidR="00592AEB" w:rsidRPr="00F410BC">
        <w:rPr>
          <w:rFonts w:cs="Calibri"/>
          <w:u w:val="single"/>
          <w:lang w:val="en-US"/>
        </w:rPr>
        <w:t>-</w:t>
      </w:r>
      <w:r w:rsidR="00BE50BB" w:rsidRPr="00F410BC">
        <w:rPr>
          <w:rFonts w:cs="Calibri"/>
          <w:u w:val="single"/>
          <w:lang w:val="en-US"/>
        </w:rPr>
        <w:t>growth development pathways within ecosystem-dictated environmental boundaries.</w:t>
      </w:r>
      <w:bookmarkEnd w:id="0"/>
    </w:p>
    <w:p w14:paraId="3C50EDC8" w14:textId="77777777" w:rsidR="00F410BC" w:rsidRPr="00F410BC" w:rsidRDefault="00F410BC" w:rsidP="00F410BC">
      <w:pPr>
        <w:rPr>
          <w:rFonts w:cs="Calibri"/>
          <w:lang w:val="en-US"/>
        </w:rPr>
      </w:pPr>
    </w:p>
    <w:p w14:paraId="271E04A6" w14:textId="36A7E19E" w:rsidR="00BE50BB" w:rsidRPr="003F183D" w:rsidRDefault="00BE50BB" w:rsidP="003F183D">
      <w:pPr>
        <w:jc w:val="both"/>
        <w:rPr>
          <w:rFonts w:cs="Calibri"/>
          <w:lang w:val="en-GB"/>
        </w:rPr>
      </w:pPr>
      <w:r w:rsidRPr="003F183D">
        <w:rPr>
          <w:rFonts w:cs="Calibri"/>
          <w:lang w:val="en-GB"/>
        </w:rPr>
        <w:t>TBG participates in two existing multiple stakeholder platforms that address climate mitigation issues in the landscapes. We propose to strengthen these platforms and the participation of different stakeholder groups in their activities.  Through a participative assessment of the risks of climate change for sustainable development, local land use and related businesses, and a landscape analysis of financial flows, we will increase awareness of all stakeholders of the climate risks and of the impacts of current financial flows on the objectives of the stakeholder platforms. This should result in a change of mindset of the stakeholders towards more resilient and sustainable actions and the formulation of a priority climate action plan that fits within a broader context of sustainable development pathways.</w:t>
      </w:r>
    </w:p>
    <w:p w14:paraId="61873759" w14:textId="77777777" w:rsidR="00F410BC" w:rsidRPr="00F410BC" w:rsidRDefault="00F410BC" w:rsidP="00F410BC">
      <w:pPr>
        <w:contextualSpacing/>
        <w:rPr>
          <w:rFonts w:cs="Calibri"/>
          <w:lang w:val="en-US"/>
        </w:rPr>
      </w:pPr>
    </w:p>
    <w:p w14:paraId="45A50EF9" w14:textId="545AD350" w:rsidR="00BE50BB" w:rsidRPr="00F410BC" w:rsidRDefault="00F410BC" w:rsidP="00F410BC">
      <w:pPr>
        <w:ind w:left="1701" w:hanging="1701"/>
        <w:rPr>
          <w:rFonts w:cs="Calibri"/>
          <w:u w:val="single"/>
          <w:lang w:val="en-US"/>
        </w:rPr>
      </w:pPr>
      <w:r>
        <w:rPr>
          <w:rFonts w:cs="Calibri"/>
          <w:u w:val="single"/>
          <w:lang w:val="en-US"/>
        </w:rPr>
        <w:t xml:space="preserve">Main Outcome </w:t>
      </w:r>
      <w:r w:rsidRPr="00F410BC">
        <w:rPr>
          <w:rFonts w:cs="Calibri"/>
          <w:u w:val="single"/>
          <w:lang w:val="en-US"/>
        </w:rPr>
        <w:t xml:space="preserve">2) </w:t>
      </w:r>
      <w:r>
        <w:rPr>
          <w:rFonts w:cs="Calibri"/>
          <w:u w:val="single"/>
          <w:lang w:val="en-US"/>
        </w:rPr>
        <w:tab/>
      </w:r>
      <w:r w:rsidR="00BE50BB" w:rsidRPr="00F410BC">
        <w:rPr>
          <w:rFonts w:cs="Calibri"/>
          <w:u w:val="single"/>
          <w:lang w:val="en-US"/>
        </w:rPr>
        <w:t>Climate Resilient Business Cases Available for Public and Private Investors contributing to sustainable development</w:t>
      </w:r>
    </w:p>
    <w:p w14:paraId="499E0493" w14:textId="77777777" w:rsidR="00F410BC" w:rsidRPr="00F410BC" w:rsidRDefault="00F410BC" w:rsidP="00F410BC">
      <w:pPr>
        <w:pStyle w:val="Lijstalinea"/>
        <w:rPr>
          <w:rFonts w:cs="Calibri"/>
          <w:lang w:val="en-US"/>
        </w:rPr>
      </w:pPr>
    </w:p>
    <w:p w14:paraId="683C48E9" w14:textId="6E56FB2A" w:rsidR="00BE50BB" w:rsidRPr="003F183D" w:rsidRDefault="00BE50BB" w:rsidP="003F183D">
      <w:pPr>
        <w:jc w:val="both"/>
        <w:rPr>
          <w:rFonts w:cs="Calibri"/>
          <w:lang w:val="en-GB"/>
        </w:rPr>
      </w:pPr>
      <w:r w:rsidRPr="003F183D">
        <w:rPr>
          <w:rFonts w:cs="Calibri"/>
          <w:lang w:val="en-GB"/>
        </w:rPr>
        <w:t>In collaboration with partners in the multi-stakeholder platforms, TBG will identify, organizations entrepreneurs and companies (preferably community based, working with local natural resources such as cocoa, non-timber forest products and diversification of crops) with potential climate resilient business ideas to help them prepare bankable proposals and link them to potential investors. This will include strengthening of financial literacy of the more vulnerable groups in the communities, as well as challenging potential entrepreneurs and organizations to come up with innovative climate resilient business ideas. For promising ideas that contribute to landscape resilience, the Landscape Investment Finance Tool (LIFT)</w:t>
      </w:r>
      <w:r w:rsidRPr="003F183D">
        <w:rPr>
          <w:rFonts w:cs="Calibri"/>
          <w:lang w:val="en-GB"/>
        </w:rPr>
        <w:footnoteReference w:id="4"/>
      </w:r>
      <w:r w:rsidRPr="003F183D">
        <w:rPr>
          <w:rFonts w:cs="Calibri"/>
          <w:lang w:val="en-GB"/>
        </w:rPr>
        <w:t xml:space="preserve"> will be applied, identifying potential investors and supporting the elaboration of bankable proposals.</w:t>
      </w:r>
    </w:p>
    <w:p w14:paraId="19EE713F" w14:textId="77777777" w:rsidR="00F410BC" w:rsidRPr="00F410BC" w:rsidRDefault="00F410BC" w:rsidP="00F410BC">
      <w:pPr>
        <w:contextualSpacing/>
        <w:rPr>
          <w:rFonts w:cs="Calibri"/>
          <w:lang w:val="en-US"/>
        </w:rPr>
      </w:pPr>
    </w:p>
    <w:p w14:paraId="6BC60668" w14:textId="59A551DD" w:rsidR="00BE50BB" w:rsidRPr="00F410BC" w:rsidRDefault="00F410BC" w:rsidP="00F410BC">
      <w:pPr>
        <w:contextualSpacing/>
        <w:rPr>
          <w:rFonts w:cs="Calibri"/>
          <w:u w:val="single"/>
          <w:lang w:val="en-US"/>
        </w:rPr>
      </w:pPr>
      <w:r>
        <w:rPr>
          <w:rFonts w:cs="Calibri"/>
          <w:u w:val="single"/>
          <w:lang w:val="en-US"/>
        </w:rPr>
        <w:t xml:space="preserve">Main Outcome </w:t>
      </w:r>
      <w:r w:rsidR="00BE50BB" w:rsidRPr="00F410BC">
        <w:rPr>
          <w:rFonts w:cs="Calibri"/>
          <w:u w:val="single"/>
          <w:lang w:val="en-US"/>
        </w:rPr>
        <w:t xml:space="preserve">3) </w:t>
      </w:r>
      <w:r>
        <w:rPr>
          <w:rFonts w:cs="Calibri"/>
          <w:u w:val="single"/>
          <w:lang w:val="en-US"/>
        </w:rPr>
        <w:tab/>
      </w:r>
      <w:r w:rsidR="00BE50BB" w:rsidRPr="00F410BC">
        <w:rPr>
          <w:rFonts w:cs="Calibri"/>
          <w:u w:val="single"/>
          <w:lang w:val="en-US"/>
        </w:rPr>
        <w:t>Harvesting of lessons to inform practices and standards</w:t>
      </w:r>
    </w:p>
    <w:p w14:paraId="72B0F0F8" w14:textId="77777777" w:rsidR="00F410BC" w:rsidRPr="00F410BC" w:rsidRDefault="00F410BC" w:rsidP="00F410BC">
      <w:pPr>
        <w:contextualSpacing/>
        <w:rPr>
          <w:rFonts w:cs="Calibri"/>
          <w:lang w:val="en-US"/>
        </w:rPr>
      </w:pPr>
    </w:p>
    <w:p w14:paraId="26F0B5F9" w14:textId="77777777" w:rsidR="00BE50BB" w:rsidRPr="003F183D" w:rsidRDefault="00BE50BB" w:rsidP="003F183D">
      <w:pPr>
        <w:jc w:val="both"/>
        <w:rPr>
          <w:rFonts w:cs="Calibri"/>
          <w:lang w:val="en-GB"/>
        </w:rPr>
      </w:pPr>
      <w:r w:rsidRPr="003F183D">
        <w:rPr>
          <w:rFonts w:cs="Calibri"/>
          <w:lang w:val="en-GB"/>
        </w:rPr>
        <w:t>Throughout program implementation, TBG will document its experiences and reflect on the lessons learned from these together with the members of the multi-stakeholder platforms, seeking also the collaboration of the Forest Trees and Agroforestry program of the CGIAR. Lessons learned will be shared with other program partners, as well as through the program platforms and national and international meetings, and where possible, will contribute to the formulation of guidelines, standards and recommendations for good climate finance practices.</w:t>
      </w:r>
    </w:p>
    <w:p w14:paraId="10206D01" w14:textId="77777777" w:rsidR="00AF2576" w:rsidRPr="003F183D" w:rsidRDefault="00AF2576" w:rsidP="003F183D">
      <w:pPr>
        <w:jc w:val="both"/>
        <w:rPr>
          <w:rFonts w:cs="Calibri"/>
          <w:lang w:val="en-GB"/>
        </w:rPr>
      </w:pPr>
    </w:p>
    <w:p w14:paraId="12583F61" w14:textId="77777777" w:rsidR="004065FC" w:rsidRDefault="004065FC">
      <w:pPr>
        <w:spacing w:line="240" w:lineRule="auto"/>
        <w:rPr>
          <w:rFonts w:cs="Calibri"/>
          <w:b/>
          <w:bCs/>
          <w:lang w:val="en-US"/>
        </w:rPr>
      </w:pPr>
      <w:r>
        <w:rPr>
          <w:rFonts w:cs="Calibri"/>
          <w:b/>
          <w:bCs/>
          <w:lang w:val="en-US"/>
        </w:rPr>
        <w:br w:type="page"/>
      </w:r>
    </w:p>
    <w:p w14:paraId="47027D54" w14:textId="1E00994D" w:rsidR="00AE5BC8" w:rsidRDefault="00FF48E8" w:rsidP="00AE5BC8">
      <w:pPr>
        <w:contextualSpacing/>
        <w:rPr>
          <w:rFonts w:cs="Calibri"/>
          <w:b/>
          <w:bCs/>
          <w:lang w:val="en-US"/>
        </w:rPr>
      </w:pPr>
      <w:r>
        <w:rPr>
          <w:rFonts w:cs="Calibri"/>
          <w:b/>
          <w:bCs/>
          <w:lang w:val="en-US"/>
        </w:rPr>
        <w:lastRenderedPageBreak/>
        <w:t xml:space="preserve">TOC </w:t>
      </w:r>
      <w:r w:rsidR="00AF2576" w:rsidRPr="0063633D">
        <w:rPr>
          <w:rFonts w:cs="Calibri"/>
          <w:b/>
          <w:bCs/>
          <w:lang w:val="en-US"/>
        </w:rPr>
        <w:t>Assumptions</w:t>
      </w:r>
    </w:p>
    <w:p w14:paraId="1805F212" w14:textId="77777777" w:rsidR="003F183D" w:rsidRDefault="003F183D" w:rsidP="00AE5BC8">
      <w:pPr>
        <w:contextualSpacing/>
        <w:rPr>
          <w:rFonts w:cs="Calibri"/>
          <w:b/>
          <w:bCs/>
          <w:lang w:val="en-US"/>
        </w:rPr>
      </w:pPr>
    </w:p>
    <w:p w14:paraId="0602FF23" w14:textId="77777777" w:rsidR="00BE50BB" w:rsidRPr="003F183D" w:rsidRDefault="00AF2576" w:rsidP="003F183D">
      <w:pPr>
        <w:jc w:val="both"/>
        <w:rPr>
          <w:rFonts w:cs="Calibri"/>
          <w:lang w:val="en-GB"/>
        </w:rPr>
      </w:pPr>
      <w:r w:rsidRPr="003F183D">
        <w:rPr>
          <w:rFonts w:cs="Calibri"/>
          <w:lang w:val="en-GB"/>
        </w:rPr>
        <w:t>In defining the main outcomes, we have made the following assumptions:</w:t>
      </w:r>
    </w:p>
    <w:p w14:paraId="562F17ED" w14:textId="51E4AAB4" w:rsidR="00BE50BB" w:rsidRPr="003F183D" w:rsidRDefault="00BE50BB" w:rsidP="003F183D">
      <w:pPr>
        <w:jc w:val="both"/>
        <w:rPr>
          <w:rFonts w:cs="Calibri"/>
          <w:lang w:val="en-GB"/>
        </w:rPr>
      </w:pPr>
      <w:r w:rsidRPr="003F183D">
        <w:rPr>
          <w:rFonts w:cs="Calibri"/>
          <w:lang w:val="en-GB"/>
        </w:rPr>
        <w:t>1) Multiple landscape actors formulate and adopt inclusive priority climate action plan for JB &amp; SW landscapes that are consistent with broader, green</w:t>
      </w:r>
      <w:r w:rsidR="00592AEB" w:rsidRPr="003F183D">
        <w:rPr>
          <w:rFonts w:cs="Calibri"/>
          <w:lang w:val="en-GB"/>
        </w:rPr>
        <w:t>-</w:t>
      </w:r>
      <w:r w:rsidRPr="003F183D">
        <w:rPr>
          <w:rFonts w:cs="Calibri"/>
          <w:lang w:val="en-GB"/>
        </w:rPr>
        <w:t>growth development pathways within ecosystem-dictated environmental boundaries:</w:t>
      </w:r>
    </w:p>
    <w:p w14:paraId="67B5C586" w14:textId="77777777" w:rsidR="00BE50BB" w:rsidRPr="00F410BC" w:rsidRDefault="00BE50BB" w:rsidP="00BE50BB">
      <w:pPr>
        <w:numPr>
          <w:ilvl w:val="0"/>
          <w:numId w:val="3"/>
        </w:numPr>
        <w:contextualSpacing/>
        <w:jc w:val="both"/>
        <w:rPr>
          <w:rFonts w:cs="Calibri"/>
          <w:lang w:val="en-GB"/>
        </w:rPr>
      </w:pPr>
      <w:bookmarkStart w:id="1" w:name="_Hlk25072702"/>
      <w:r w:rsidRPr="00F410BC">
        <w:rPr>
          <w:rFonts w:cs="Calibri"/>
          <w:lang w:val="en-GB"/>
        </w:rPr>
        <w:t xml:space="preserve">Continued collaboration with State and Non-State actors and other relevant stakeholders in the JB and SW </w:t>
      </w:r>
      <w:bookmarkEnd w:id="1"/>
      <w:r w:rsidRPr="00F410BC">
        <w:rPr>
          <w:rFonts w:cs="Calibri"/>
          <w:lang w:val="en-GB"/>
        </w:rPr>
        <w:t>landscape, which will be further strengthened in an effort to develop an inclusive landscape level climate-proof action plan consistent with SD objectives</w:t>
      </w:r>
    </w:p>
    <w:p w14:paraId="43678B22" w14:textId="77777777" w:rsidR="00BE50BB" w:rsidRPr="00F410BC" w:rsidRDefault="00BE50BB" w:rsidP="00BE50BB">
      <w:pPr>
        <w:numPr>
          <w:ilvl w:val="0"/>
          <w:numId w:val="3"/>
        </w:numPr>
        <w:spacing w:after="240"/>
        <w:contextualSpacing/>
        <w:jc w:val="both"/>
        <w:rPr>
          <w:rFonts w:cs="Calibri"/>
          <w:lang w:val="en-GB"/>
        </w:rPr>
      </w:pPr>
      <w:r w:rsidRPr="00F410BC">
        <w:rPr>
          <w:rFonts w:cs="Calibri"/>
          <w:lang w:val="en-GB"/>
        </w:rPr>
        <w:t>State and Non-State actors and other relevant stakeholders in the JB and SW are sensitive to climate risk information and based on such information, they will undertake and practice climate-proof activities consistent with sustainable development objectives</w:t>
      </w:r>
    </w:p>
    <w:p w14:paraId="76516EF1" w14:textId="77777777" w:rsidR="00BE50BB" w:rsidRPr="00F410BC" w:rsidRDefault="00BE50BB" w:rsidP="00BE50BB">
      <w:pPr>
        <w:spacing w:after="240"/>
        <w:ind w:left="720"/>
        <w:contextualSpacing/>
        <w:jc w:val="both"/>
        <w:rPr>
          <w:rFonts w:cs="Calibri"/>
          <w:lang w:val="en-GB"/>
        </w:rPr>
      </w:pPr>
    </w:p>
    <w:p w14:paraId="2D19FA5B" w14:textId="77777777" w:rsidR="00BE50BB" w:rsidRPr="00F410BC" w:rsidRDefault="00BE50BB" w:rsidP="00BE50BB">
      <w:pPr>
        <w:spacing w:after="240"/>
        <w:contextualSpacing/>
        <w:jc w:val="both"/>
        <w:rPr>
          <w:rFonts w:cs="Calibri"/>
          <w:lang w:val="en-GB"/>
        </w:rPr>
      </w:pPr>
      <w:r w:rsidRPr="00F410BC">
        <w:rPr>
          <w:rFonts w:cs="Calibri"/>
          <w:lang w:val="en-GB"/>
        </w:rPr>
        <w:t xml:space="preserve">2) </w:t>
      </w:r>
      <w:r w:rsidRPr="00F410BC">
        <w:rPr>
          <w:color w:val="000000"/>
          <w:kern w:val="24"/>
          <w:lang w:val="en-GB"/>
        </w:rPr>
        <w:t>Climate Resilient Business Cases Available for Public and Private Investors</w:t>
      </w:r>
      <w:r w:rsidRPr="00F410BC">
        <w:rPr>
          <w:rFonts w:cs="Calibri"/>
          <w:lang w:val="en-GB"/>
        </w:rPr>
        <w:t xml:space="preserve"> </w:t>
      </w:r>
    </w:p>
    <w:p w14:paraId="58A630A0" w14:textId="77777777" w:rsidR="00BE50BB" w:rsidRPr="00F410BC" w:rsidRDefault="00BE50BB" w:rsidP="00BE50BB">
      <w:pPr>
        <w:numPr>
          <w:ilvl w:val="0"/>
          <w:numId w:val="2"/>
        </w:numPr>
        <w:contextualSpacing/>
        <w:rPr>
          <w:rFonts w:cs="Calibri"/>
          <w:lang w:val="en-GB"/>
        </w:rPr>
      </w:pPr>
      <w:r w:rsidRPr="00F410BC">
        <w:rPr>
          <w:rFonts w:eastAsia="+mn-ea" w:cs="Calibri"/>
          <w:color w:val="000000"/>
          <w:kern w:val="24"/>
          <w:lang w:val="en-GB"/>
        </w:rPr>
        <w:t>Diversification of investments will make the landscape more climate resilient and landscape actors will diversify to sustain their livelihoods in a climate-proof manner</w:t>
      </w:r>
    </w:p>
    <w:p w14:paraId="7AA45379" w14:textId="77777777" w:rsidR="00BE50BB" w:rsidRPr="00F410BC" w:rsidRDefault="00BE50BB" w:rsidP="00BE50BB">
      <w:pPr>
        <w:numPr>
          <w:ilvl w:val="0"/>
          <w:numId w:val="2"/>
        </w:numPr>
        <w:contextualSpacing/>
        <w:rPr>
          <w:rFonts w:cs="Calibri"/>
          <w:lang w:val="en-GB"/>
        </w:rPr>
      </w:pPr>
      <w:r w:rsidRPr="00F410BC">
        <w:rPr>
          <w:rFonts w:cs="Calibri"/>
          <w:lang w:val="en-GB"/>
        </w:rPr>
        <w:t>Financial institutions will support entrepreneurs in developing climate resilient, sustainable business cases as a form of de-risking investment portfolios</w:t>
      </w:r>
    </w:p>
    <w:p w14:paraId="0D2331A3" w14:textId="77777777" w:rsidR="00BE50BB" w:rsidRPr="00F410BC" w:rsidRDefault="00BE50BB" w:rsidP="00BE50BB">
      <w:pPr>
        <w:spacing w:after="240"/>
        <w:ind w:left="720"/>
        <w:contextualSpacing/>
        <w:jc w:val="both"/>
        <w:rPr>
          <w:rFonts w:cs="Calibri"/>
          <w:lang w:val="en-GB"/>
        </w:rPr>
      </w:pPr>
    </w:p>
    <w:p w14:paraId="1A33E441" w14:textId="77777777" w:rsidR="00BE50BB" w:rsidRPr="00F410BC" w:rsidRDefault="00BE50BB" w:rsidP="00BE50BB">
      <w:pPr>
        <w:spacing w:after="240"/>
        <w:contextualSpacing/>
        <w:jc w:val="both"/>
        <w:rPr>
          <w:rFonts w:cs="Calibri"/>
          <w:color w:val="000000"/>
          <w:kern w:val="24"/>
          <w:lang w:val="en-GB"/>
        </w:rPr>
      </w:pPr>
      <w:r w:rsidRPr="00F410BC">
        <w:rPr>
          <w:rFonts w:cs="Calibri"/>
          <w:color w:val="000000"/>
          <w:kern w:val="24"/>
          <w:lang w:val="en-GB"/>
        </w:rPr>
        <w:t>3) Harvesting of lessons to inform practices and standards</w:t>
      </w:r>
    </w:p>
    <w:p w14:paraId="53C84144" w14:textId="77777777" w:rsidR="00BE50BB" w:rsidRPr="00F410BC" w:rsidRDefault="00BE50BB" w:rsidP="00BE50BB">
      <w:pPr>
        <w:numPr>
          <w:ilvl w:val="0"/>
          <w:numId w:val="4"/>
        </w:numPr>
        <w:spacing w:after="240"/>
        <w:contextualSpacing/>
        <w:jc w:val="both"/>
        <w:rPr>
          <w:rFonts w:cs="Calibri"/>
          <w:color w:val="000000"/>
          <w:kern w:val="24"/>
          <w:lang w:val="en-GB"/>
        </w:rPr>
      </w:pPr>
      <w:r w:rsidRPr="00F410BC">
        <w:rPr>
          <w:rFonts w:cs="Calibri"/>
          <w:color w:val="000000"/>
          <w:kern w:val="24"/>
          <w:lang w:val="en-GB"/>
        </w:rPr>
        <w:t>Platforms are available and appropriate to share evidence on good practices and standards</w:t>
      </w:r>
    </w:p>
    <w:p w14:paraId="447CBB9F" w14:textId="77777777" w:rsidR="00BE50BB" w:rsidRPr="00F410BC" w:rsidRDefault="00BE50BB" w:rsidP="00BE50BB">
      <w:pPr>
        <w:numPr>
          <w:ilvl w:val="0"/>
          <w:numId w:val="4"/>
        </w:numPr>
        <w:spacing w:after="240"/>
        <w:contextualSpacing/>
        <w:jc w:val="both"/>
        <w:rPr>
          <w:rFonts w:cs="Calibri"/>
          <w:color w:val="000000"/>
          <w:kern w:val="24"/>
          <w:lang w:val="en-GB"/>
        </w:rPr>
      </w:pPr>
      <w:r w:rsidRPr="00F410BC">
        <w:rPr>
          <w:rFonts w:cs="Calibri"/>
          <w:color w:val="000000"/>
          <w:kern w:val="24"/>
          <w:lang w:val="en-GB"/>
        </w:rPr>
        <w:t>The programme will produce enough quality information and evidence to share</w:t>
      </w:r>
    </w:p>
    <w:p w14:paraId="6C6B6F82" w14:textId="77777777" w:rsidR="00AE5BC8" w:rsidRPr="0063633D" w:rsidRDefault="00AE5BC8" w:rsidP="00A41A5F">
      <w:pPr>
        <w:spacing w:after="240"/>
        <w:contextualSpacing/>
        <w:jc w:val="both"/>
        <w:rPr>
          <w:rFonts w:cs="Calibri"/>
          <w:color w:val="000000"/>
          <w:kern w:val="24"/>
          <w:lang w:val="en-US"/>
        </w:rPr>
      </w:pPr>
    </w:p>
    <w:p w14:paraId="0A37069C" w14:textId="6767FF67" w:rsidR="00FF48E8" w:rsidRPr="00FF48E8" w:rsidRDefault="00F6756E" w:rsidP="00A41A5F">
      <w:pPr>
        <w:pStyle w:val="Kop1"/>
      </w:pPr>
      <w:r>
        <w:t>outcome timeline</w:t>
      </w:r>
    </w:p>
    <w:tbl>
      <w:tblPr>
        <w:tblStyle w:val="Tabelraster"/>
        <w:tblpPr w:leftFromText="141" w:rightFromText="141" w:vertAnchor="text" w:horzAnchor="margin" w:tblpY="259"/>
        <w:tblW w:w="8642" w:type="dxa"/>
        <w:tblLook w:val="04A0" w:firstRow="1" w:lastRow="0" w:firstColumn="1" w:lastColumn="0" w:noHBand="0" w:noVBand="1"/>
      </w:tblPr>
      <w:tblGrid>
        <w:gridCol w:w="2405"/>
        <w:gridCol w:w="1276"/>
        <w:gridCol w:w="1134"/>
        <w:gridCol w:w="1276"/>
        <w:gridCol w:w="1275"/>
        <w:gridCol w:w="1276"/>
      </w:tblGrid>
      <w:tr w:rsidR="00AE5BC8" w:rsidRPr="00AE5BC8" w14:paraId="3B82815A" w14:textId="77777777" w:rsidTr="00F410BC">
        <w:tc>
          <w:tcPr>
            <w:tcW w:w="2405" w:type="dxa"/>
          </w:tcPr>
          <w:p w14:paraId="7C0553D4" w14:textId="77777777" w:rsidR="00AE5BC8" w:rsidRPr="00AE5BC8" w:rsidRDefault="00AE5BC8" w:rsidP="00AE5BC8">
            <w:pPr>
              <w:spacing w:after="240"/>
              <w:contextualSpacing/>
              <w:jc w:val="both"/>
              <w:rPr>
                <w:rFonts w:cs="Calibri"/>
                <w:b/>
                <w:bCs/>
                <w:color w:val="000000"/>
                <w:kern w:val="24"/>
                <w:sz w:val="20"/>
                <w:szCs w:val="20"/>
                <w:lang w:val="en-US"/>
              </w:rPr>
            </w:pPr>
            <w:r w:rsidRPr="00AE5BC8">
              <w:rPr>
                <w:rFonts w:cs="Calibri"/>
                <w:b/>
                <w:bCs/>
                <w:color w:val="000000"/>
                <w:kern w:val="24"/>
                <w:sz w:val="20"/>
                <w:szCs w:val="20"/>
                <w:lang w:val="en-US"/>
              </w:rPr>
              <w:t>Strategic outcome</w:t>
            </w:r>
          </w:p>
        </w:tc>
        <w:tc>
          <w:tcPr>
            <w:tcW w:w="1276" w:type="dxa"/>
            <w:vAlign w:val="center"/>
          </w:tcPr>
          <w:p w14:paraId="736DDEF4" w14:textId="77777777" w:rsidR="00AE5BC8" w:rsidRPr="00AE5BC8" w:rsidRDefault="00AE5BC8" w:rsidP="00AE5BC8">
            <w:pPr>
              <w:spacing w:after="240"/>
              <w:contextualSpacing/>
              <w:jc w:val="center"/>
              <w:rPr>
                <w:rFonts w:cs="Calibri"/>
                <w:b/>
                <w:bCs/>
                <w:color w:val="000000"/>
                <w:kern w:val="24"/>
                <w:sz w:val="20"/>
                <w:szCs w:val="20"/>
                <w:lang w:val="en-US"/>
              </w:rPr>
            </w:pPr>
            <w:r w:rsidRPr="00AE5BC8">
              <w:rPr>
                <w:rFonts w:cs="Calibri"/>
                <w:b/>
                <w:bCs/>
                <w:color w:val="000000"/>
                <w:kern w:val="24"/>
                <w:sz w:val="20"/>
                <w:szCs w:val="20"/>
                <w:lang w:val="en-US"/>
              </w:rPr>
              <w:t>2020</w:t>
            </w:r>
          </w:p>
        </w:tc>
        <w:tc>
          <w:tcPr>
            <w:tcW w:w="1134" w:type="dxa"/>
            <w:vAlign w:val="center"/>
          </w:tcPr>
          <w:p w14:paraId="590F290E" w14:textId="77777777" w:rsidR="00AE5BC8" w:rsidRPr="00AE5BC8" w:rsidRDefault="00AE5BC8" w:rsidP="00AE5BC8">
            <w:pPr>
              <w:spacing w:after="240"/>
              <w:contextualSpacing/>
              <w:jc w:val="center"/>
              <w:rPr>
                <w:rFonts w:cs="Calibri"/>
                <w:b/>
                <w:bCs/>
                <w:color w:val="000000"/>
                <w:kern w:val="24"/>
                <w:sz w:val="20"/>
                <w:szCs w:val="20"/>
                <w:lang w:val="en-US"/>
              </w:rPr>
            </w:pPr>
            <w:r w:rsidRPr="00AE5BC8">
              <w:rPr>
                <w:rFonts w:cs="Calibri"/>
                <w:b/>
                <w:bCs/>
                <w:color w:val="000000"/>
                <w:kern w:val="24"/>
                <w:sz w:val="20"/>
                <w:szCs w:val="20"/>
                <w:lang w:val="en-US"/>
              </w:rPr>
              <w:t>2021</w:t>
            </w:r>
          </w:p>
        </w:tc>
        <w:tc>
          <w:tcPr>
            <w:tcW w:w="1276" w:type="dxa"/>
            <w:vAlign w:val="center"/>
          </w:tcPr>
          <w:p w14:paraId="35A6E603" w14:textId="77777777" w:rsidR="00AE5BC8" w:rsidRPr="00AE5BC8" w:rsidRDefault="00AE5BC8" w:rsidP="00AE5BC8">
            <w:pPr>
              <w:spacing w:after="240"/>
              <w:contextualSpacing/>
              <w:jc w:val="center"/>
              <w:rPr>
                <w:rFonts w:cs="Calibri"/>
                <w:b/>
                <w:bCs/>
                <w:color w:val="000000"/>
                <w:kern w:val="24"/>
                <w:sz w:val="20"/>
                <w:szCs w:val="20"/>
                <w:lang w:val="en-US"/>
              </w:rPr>
            </w:pPr>
            <w:r w:rsidRPr="00AE5BC8">
              <w:rPr>
                <w:rFonts w:cs="Calibri"/>
                <w:b/>
                <w:bCs/>
                <w:color w:val="000000"/>
                <w:kern w:val="24"/>
                <w:sz w:val="20"/>
                <w:szCs w:val="20"/>
                <w:lang w:val="en-US"/>
              </w:rPr>
              <w:t>2022</w:t>
            </w:r>
          </w:p>
        </w:tc>
        <w:tc>
          <w:tcPr>
            <w:tcW w:w="1275" w:type="dxa"/>
            <w:vAlign w:val="center"/>
          </w:tcPr>
          <w:p w14:paraId="5ED2D874" w14:textId="77777777" w:rsidR="00AE5BC8" w:rsidRPr="00AE5BC8" w:rsidRDefault="00AE5BC8" w:rsidP="00AE5BC8">
            <w:pPr>
              <w:spacing w:after="240"/>
              <w:contextualSpacing/>
              <w:jc w:val="center"/>
              <w:rPr>
                <w:rFonts w:cs="Calibri"/>
                <w:b/>
                <w:bCs/>
                <w:color w:val="000000"/>
                <w:kern w:val="24"/>
                <w:sz w:val="20"/>
                <w:szCs w:val="20"/>
                <w:lang w:val="en-US"/>
              </w:rPr>
            </w:pPr>
            <w:r w:rsidRPr="00AE5BC8">
              <w:rPr>
                <w:rFonts w:cs="Calibri"/>
                <w:b/>
                <w:bCs/>
                <w:color w:val="000000"/>
                <w:kern w:val="24"/>
                <w:sz w:val="20"/>
                <w:szCs w:val="20"/>
                <w:lang w:val="en-US"/>
              </w:rPr>
              <w:t>2023</w:t>
            </w:r>
          </w:p>
        </w:tc>
        <w:tc>
          <w:tcPr>
            <w:tcW w:w="1276" w:type="dxa"/>
            <w:vAlign w:val="center"/>
          </w:tcPr>
          <w:p w14:paraId="59C6D266" w14:textId="77777777" w:rsidR="00AE5BC8" w:rsidRPr="00AE5BC8" w:rsidRDefault="00AE5BC8" w:rsidP="00AE5BC8">
            <w:pPr>
              <w:spacing w:after="240"/>
              <w:contextualSpacing/>
              <w:jc w:val="center"/>
              <w:rPr>
                <w:rFonts w:cs="Calibri"/>
                <w:b/>
                <w:bCs/>
                <w:color w:val="000000"/>
                <w:kern w:val="24"/>
                <w:sz w:val="20"/>
                <w:szCs w:val="20"/>
                <w:lang w:val="en-US"/>
              </w:rPr>
            </w:pPr>
            <w:r w:rsidRPr="00AE5BC8">
              <w:rPr>
                <w:rFonts w:cs="Calibri"/>
                <w:b/>
                <w:bCs/>
                <w:color w:val="000000"/>
                <w:kern w:val="24"/>
                <w:sz w:val="20"/>
                <w:szCs w:val="20"/>
                <w:lang w:val="en-US"/>
              </w:rPr>
              <w:t>2024</w:t>
            </w:r>
          </w:p>
        </w:tc>
      </w:tr>
      <w:tr w:rsidR="00AE5BC8" w:rsidRPr="008E1239" w14:paraId="65ECCB6D" w14:textId="77777777" w:rsidTr="00F410BC">
        <w:tc>
          <w:tcPr>
            <w:tcW w:w="2405" w:type="dxa"/>
            <w:vMerge w:val="restart"/>
          </w:tcPr>
          <w:p w14:paraId="18A91B8F" w14:textId="47F3FEA7" w:rsidR="00AE5BC8" w:rsidRPr="00F410BC" w:rsidRDefault="00F410BC" w:rsidP="00F410BC">
            <w:pPr>
              <w:spacing w:after="240" w:line="240" w:lineRule="auto"/>
              <w:contextualSpacing/>
              <w:rPr>
                <w:rFonts w:cs="Calibri"/>
                <w:color w:val="000000"/>
                <w:kern w:val="24"/>
                <w:sz w:val="20"/>
                <w:szCs w:val="20"/>
                <w:lang w:val="en-GB"/>
              </w:rPr>
            </w:pPr>
            <w:r w:rsidRPr="00F410BC">
              <w:rPr>
                <w:rFonts w:ascii="Calibri" w:hAnsi="Calibri" w:cs="Helvetica"/>
                <w:color w:val="1D2228"/>
                <w:sz w:val="20"/>
                <w:szCs w:val="20"/>
                <w:lang w:val="en-GB"/>
              </w:rPr>
              <w:t>Multiple Landscape Actors Formulate and Adopt Inclusive Priority Climate Action Plan consistent with broader, green-growth development pathways within ecosystem-dictated environmental boundaries</w:t>
            </w:r>
          </w:p>
        </w:tc>
        <w:tc>
          <w:tcPr>
            <w:tcW w:w="6237" w:type="dxa"/>
            <w:gridSpan w:val="5"/>
          </w:tcPr>
          <w:p w14:paraId="2A9309D4" w14:textId="2F2E6263"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 xml:space="preserve">Through their participation in MSPs, public and private sector acknowledge climate risk and promote and </w:t>
            </w:r>
            <w:r w:rsidR="00A41A5F" w:rsidRPr="00AE5BC8">
              <w:rPr>
                <w:rFonts w:cs="Calibri"/>
                <w:color w:val="000000"/>
                <w:kern w:val="24"/>
                <w:sz w:val="20"/>
                <w:szCs w:val="20"/>
                <w:lang w:val="en-US"/>
              </w:rPr>
              <w:t>coordinate</w:t>
            </w:r>
            <w:r w:rsidRPr="00AE5BC8">
              <w:rPr>
                <w:rFonts w:cs="Calibri"/>
                <w:color w:val="000000"/>
                <w:kern w:val="24"/>
                <w:sz w:val="20"/>
                <w:szCs w:val="20"/>
                <w:lang w:val="en-US"/>
              </w:rPr>
              <w:t xml:space="preserve"> practice and regulation to support climate resilient actions</w:t>
            </w:r>
          </w:p>
        </w:tc>
      </w:tr>
      <w:tr w:rsidR="00AE5BC8" w:rsidRPr="008E1239" w14:paraId="41718648" w14:textId="77777777" w:rsidTr="00F410BC">
        <w:tc>
          <w:tcPr>
            <w:tcW w:w="2405" w:type="dxa"/>
            <w:vMerge/>
          </w:tcPr>
          <w:p w14:paraId="48450464" w14:textId="77777777" w:rsidR="00AE5BC8" w:rsidRPr="00AE5BC8" w:rsidRDefault="00AE5BC8" w:rsidP="00AE5BC8">
            <w:pPr>
              <w:spacing w:after="240"/>
              <w:contextualSpacing/>
              <w:jc w:val="both"/>
              <w:rPr>
                <w:rFonts w:cs="Calibri"/>
                <w:color w:val="000000"/>
                <w:kern w:val="24"/>
                <w:sz w:val="20"/>
                <w:szCs w:val="20"/>
                <w:lang w:val="en-US"/>
              </w:rPr>
            </w:pPr>
          </w:p>
        </w:tc>
        <w:tc>
          <w:tcPr>
            <w:tcW w:w="2410" w:type="dxa"/>
            <w:gridSpan w:val="2"/>
          </w:tcPr>
          <w:p w14:paraId="1AC64A78" w14:textId="230EC321"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 xml:space="preserve">Through the application of participative analysis and reflection tools, the mindset of multiple landscape </w:t>
            </w:r>
            <w:r w:rsidR="00A41A5F" w:rsidRPr="00AE5BC8">
              <w:rPr>
                <w:rFonts w:cs="Calibri"/>
                <w:color w:val="000000"/>
                <w:kern w:val="24"/>
                <w:sz w:val="20"/>
                <w:szCs w:val="20"/>
                <w:lang w:val="en-US"/>
              </w:rPr>
              <w:t>actors’</w:t>
            </w:r>
            <w:r w:rsidRPr="00AE5BC8">
              <w:rPr>
                <w:rFonts w:cs="Calibri"/>
                <w:color w:val="000000"/>
                <w:kern w:val="24"/>
                <w:sz w:val="20"/>
                <w:szCs w:val="20"/>
                <w:lang w:val="en-US"/>
              </w:rPr>
              <w:t xml:space="preserve"> changes</w:t>
            </w:r>
          </w:p>
        </w:tc>
        <w:tc>
          <w:tcPr>
            <w:tcW w:w="1276" w:type="dxa"/>
          </w:tcPr>
          <w:p w14:paraId="4423A4C7" w14:textId="77777777" w:rsidR="00AE5BC8" w:rsidRPr="00AE5BC8" w:rsidRDefault="00AE5BC8" w:rsidP="00AE5BC8">
            <w:pPr>
              <w:spacing w:after="240"/>
              <w:contextualSpacing/>
              <w:jc w:val="both"/>
              <w:rPr>
                <w:rFonts w:cs="Calibri"/>
                <w:color w:val="000000"/>
                <w:kern w:val="24"/>
                <w:sz w:val="20"/>
                <w:szCs w:val="20"/>
                <w:lang w:val="en-US"/>
              </w:rPr>
            </w:pPr>
          </w:p>
        </w:tc>
        <w:tc>
          <w:tcPr>
            <w:tcW w:w="1275" w:type="dxa"/>
          </w:tcPr>
          <w:p w14:paraId="26752F33" w14:textId="77777777" w:rsidR="00AE5BC8" w:rsidRPr="00AE5BC8" w:rsidRDefault="00AE5BC8" w:rsidP="00AE5BC8">
            <w:pPr>
              <w:spacing w:after="240"/>
              <w:contextualSpacing/>
              <w:jc w:val="both"/>
              <w:rPr>
                <w:rFonts w:cs="Calibri"/>
                <w:color w:val="000000"/>
                <w:kern w:val="24"/>
                <w:sz w:val="20"/>
                <w:szCs w:val="20"/>
                <w:lang w:val="en-US"/>
              </w:rPr>
            </w:pPr>
          </w:p>
        </w:tc>
        <w:tc>
          <w:tcPr>
            <w:tcW w:w="1276" w:type="dxa"/>
          </w:tcPr>
          <w:p w14:paraId="78A0873F" w14:textId="77777777" w:rsidR="00AE5BC8" w:rsidRPr="00AE5BC8" w:rsidRDefault="00AE5BC8" w:rsidP="00AE5BC8">
            <w:pPr>
              <w:spacing w:after="240"/>
              <w:contextualSpacing/>
              <w:jc w:val="both"/>
              <w:rPr>
                <w:rFonts w:cs="Calibri"/>
                <w:color w:val="000000"/>
                <w:kern w:val="24"/>
                <w:sz w:val="20"/>
                <w:szCs w:val="20"/>
                <w:lang w:val="en-US"/>
              </w:rPr>
            </w:pPr>
          </w:p>
        </w:tc>
      </w:tr>
      <w:tr w:rsidR="00AE5BC8" w:rsidRPr="008E1239" w14:paraId="501CA584" w14:textId="77777777" w:rsidTr="00F410BC">
        <w:tc>
          <w:tcPr>
            <w:tcW w:w="2405" w:type="dxa"/>
            <w:vMerge w:val="restart"/>
          </w:tcPr>
          <w:p w14:paraId="3B393E84" w14:textId="242E9A30" w:rsidR="00AE5BC8" w:rsidRPr="00F410BC" w:rsidRDefault="00F410BC" w:rsidP="00F410BC">
            <w:pPr>
              <w:spacing w:after="240" w:line="240" w:lineRule="auto"/>
              <w:contextualSpacing/>
              <w:jc w:val="both"/>
              <w:rPr>
                <w:rFonts w:cs="Calibri"/>
                <w:color w:val="000000"/>
                <w:kern w:val="24"/>
                <w:sz w:val="20"/>
                <w:szCs w:val="20"/>
                <w:lang w:val="en-GB"/>
              </w:rPr>
            </w:pPr>
            <w:r w:rsidRPr="00F410BC">
              <w:rPr>
                <w:rFonts w:ascii="Calibri" w:hAnsi="Calibri" w:cs="Helvetica"/>
                <w:color w:val="1D2228"/>
                <w:sz w:val="20"/>
                <w:szCs w:val="20"/>
                <w:lang w:val="en-GB"/>
              </w:rPr>
              <w:t>Climate Resilient Business Cases Available for Public and Private Investors contributing to sustainable development</w:t>
            </w:r>
          </w:p>
        </w:tc>
        <w:tc>
          <w:tcPr>
            <w:tcW w:w="6237" w:type="dxa"/>
            <w:gridSpan w:val="5"/>
          </w:tcPr>
          <w:p w14:paraId="1E2016F0" w14:textId="77777777"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Entrepreneurs and investors formulate bankable business cases and pilots</w:t>
            </w:r>
          </w:p>
        </w:tc>
      </w:tr>
      <w:tr w:rsidR="00AE5BC8" w:rsidRPr="008E1239" w14:paraId="2026D475" w14:textId="77777777" w:rsidTr="00F410BC">
        <w:tc>
          <w:tcPr>
            <w:tcW w:w="2405" w:type="dxa"/>
            <w:vMerge/>
          </w:tcPr>
          <w:p w14:paraId="760698DC" w14:textId="77777777" w:rsidR="00AE5BC8" w:rsidRPr="00AE5BC8" w:rsidRDefault="00AE5BC8" w:rsidP="00AE5BC8">
            <w:pPr>
              <w:spacing w:after="240"/>
              <w:contextualSpacing/>
              <w:jc w:val="both"/>
              <w:rPr>
                <w:rFonts w:cs="Calibri"/>
                <w:color w:val="000000"/>
                <w:kern w:val="24"/>
                <w:sz w:val="20"/>
                <w:szCs w:val="20"/>
                <w:lang w:val="en-US"/>
              </w:rPr>
            </w:pPr>
          </w:p>
        </w:tc>
        <w:tc>
          <w:tcPr>
            <w:tcW w:w="2410" w:type="dxa"/>
            <w:gridSpan w:val="2"/>
          </w:tcPr>
          <w:p w14:paraId="76231CF1" w14:textId="77777777"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Entrepreneur, FIs and investors formulate investment action plans for possible business cases in cocoa, crop</w:t>
            </w:r>
            <w:r w:rsidRPr="00AE5BC8">
              <w:rPr>
                <w:rFonts w:cs="Calibri"/>
                <w:color w:val="FFFFFF"/>
                <w:kern w:val="24"/>
                <w:sz w:val="20"/>
                <w:szCs w:val="20"/>
                <w:lang w:val="en-US"/>
              </w:rPr>
              <w:t xml:space="preserve"> </w:t>
            </w:r>
            <w:r w:rsidRPr="00AE5BC8">
              <w:rPr>
                <w:rFonts w:cs="Calibri"/>
                <w:color w:val="000000"/>
                <w:kern w:val="24"/>
                <w:sz w:val="20"/>
                <w:szCs w:val="20"/>
                <w:lang w:val="en-US"/>
              </w:rPr>
              <w:t>diversification and NTFPs</w:t>
            </w:r>
          </w:p>
        </w:tc>
        <w:tc>
          <w:tcPr>
            <w:tcW w:w="1276" w:type="dxa"/>
          </w:tcPr>
          <w:p w14:paraId="3C1A2E7B" w14:textId="77777777" w:rsidR="00AE5BC8" w:rsidRPr="00AE5BC8" w:rsidRDefault="00AE5BC8" w:rsidP="00AE5BC8">
            <w:pPr>
              <w:spacing w:after="240"/>
              <w:contextualSpacing/>
              <w:jc w:val="both"/>
              <w:rPr>
                <w:rFonts w:cs="Calibri"/>
                <w:color w:val="000000"/>
                <w:kern w:val="24"/>
                <w:sz w:val="20"/>
                <w:szCs w:val="20"/>
                <w:lang w:val="en-US"/>
              </w:rPr>
            </w:pPr>
          </w:p>
        </w:tc>
        <w:tc>
          <w:tcPr>
            <w:tcW w:w="1275" w:type="dxa"/>
          </w:tcPr>
          <w:p w14:paraId="5375F1EF" w14:textId="77777777" w:rsidR="00AE5BC8" w:rsidRPr="00AE5BC8" w:rsidRDefault="00AE5BC8" w:rsidP="00AE5BC8">
            <w:pPr>
              <w:spacing w:after="240"/>
              <w:contextualSpacing/>
              <w:jc w:val="both"/>
              <w:rPr>
                <w:rFonts w:cs="Calibri"/>
                <w:color w:val="000000"/>
                <w:kern w:val="24"/>
                <w:sz w:val="20"/>
                <w:szCs w:val="20"/>
                <w:lang w:val="en-US"/>
              </w:rPr>
            </w:pPr>
          </w:p>
        </w:tc>
        <w:tc>
          <w:tcPr>
            <w:tcW w:w="1276" w:type="dxa"/>
          </w:tcPr>
          <w:p w14:paraId="6ECF4213" w14:textId="77777777" w:rsidR="00AE5BC8" w:rsidRPr="00AE5BC8" w:rsidRDefault="00AE5BC8" w:rsidP="00AE5BC8">
            <w:pPr>
              <w:spacing w:after="240"/>
              <w:contextualSpacing/>
              <w:jc w:val="both"/>
              <w:rPr>
                <w:rFonts w:cs="Calibri"/>
                <w:color w:val="000000"/>
                <w:kern w:val="24"/>
                <w:sz w:val="20"/>
                <w:szCs w:val="20"/>
                <w:lang w:val="en-US"/>
              </w:rPr>
            </w:pPr>
          </w:p>
        </w:tc>
      </w:tr>
      <w:tr w:rsidR="00AE5BC8" w:rsidRPr="00DB0A5B" w14:paraId="1980C4B0" w14:textId="77777777" w:rsidTr="00F410BC">
        <w:tc>
          <w:tcPr>
            <w:tcW w:w="2405" w:type="dxa"/>
            <w:vMerge/>
          </w:tcPr>
          <w:p w14:paraId="0CB1423B" w14:textId="77777777" w:rsidR="00AE5BC8" w:rsidRPr="00AE5BC8" w:rsidRDefault="00AE5BC8" w:rsidP="00AE5BC8">
            <w:pPr>
              <w:spacing w:after="240"/>
              <w:contextualSpacing/>
              <w:jc w:val="both"/>
              <w:rPr>
                <w:rFonts w:cs="Calibri"/>
                <w:color w:val="000000"/>
                <w:kern w:val="24"/>
                <w:sz w:val="20"/>
                <w:szCs w:val="20"/>
                <w:lang w:val="en-US"/>
              </w:rPr>
            </w:pPr>
          </w:p>
        </w:tc>
        <w:tc>
          <w:tcPr>
            <w:tcW w:w="1276" w:type="dxa"/>
          </w:tcPr>
          <w:p w14:paraId="07468DFB" w14:textId="77777777" w:rsidR="00AE5BC8" w:rsidRPr="00AE5BC8" w:rsidRDefault="00AE5BC8" w:rsidP="00AE5BC8">
            <w:pPr>
              <w:spacing w:after="240"/>
              <w:contextualSpacing/>
              <w:jc w:val="both"/>
              <w:rPr>
                <w:rFonts w:cs="Calibri"/>
                <w:color w:val="000000"/>
                <w:kern w:val="24"/>
                <w:sz w:val="20"/>
                <w:szCs w:val="20"/>
                <w:lang w:val="en-US"/>
              </w:rPr>
            </w:pPr>
          </w:p>
        </w:tc>
        <w:tc>
          <w:tcPr>
            <w:tcW w:w="3685" w:type="dxa"/>
            <w:gridSpan w:val="3"/>
          </w:tcPr>
          <w:p w14:paraId="38C180AB" w14:textId="77777777" w:rsidR="00AE5BC8" w:rsidRPr="00AE5BC8" w:rsidRDefault="00AE5BC8" w:rsidP="00AE5BC8">
            <w:pPr>
              <w:spacing w:after="240"/>
              <w:contextualSpacing/>
              <w:jc w:val="both"/>
              <w:rPr>
                <w:rFonts w:cs="Calibri"/>
                <w:color w:val="000000"/>
                <w:kern w:val="24"/>
                <w:sz w:val="20"/>
                <w:szCs w:val="20"/>
                <w:lang w:val="en-US"/>
              </w:rPr>
            </w:pPr>
            <w:r w:rsidRPr="00AE5BC8">
              <w:rPr>
                <w:rFonts w:cs="Calibri"/>
                <w:sz w:val="20"/>
                <w:szCs w:val="20"/>
                <w:lang w:val="en-US"/>
              </w:rPr>
              <w:t>LBCs, financial institutions and entrepreneurs frequently participate in joint investment forums</w:t>
            </w:r>
          </w:p>
        </w:tc>
        <w:tc>
          <w:tcPr>
            <w:tcW w:w="1276" w:type="dxa"/>
          </w:tcPr>
          <w:p w14:paraId="7271F995" w14:textId="77777777" w:rsidR="00AE5BC8" w:rsidRPr="00AE5BC8" w:rsidRDefault="00AE5BC8" w:rsidP="00AE5BC8">
            <w:pPr>
              <w:spacing w:after="240"/>
              <w:contextualSpacing/>
              <w:jc w:val="both"/>
              <w:rPr>
                <w:rFonts w:cs="Calibri"/>
                <w:color w:val="000000"/>
                <w:kern w:val="24"/>
                <w:sz w:val="20"/>
                <w:szCs w:val="20"/>
                <w:lang w:val="en-US"/>
              </w:rPr>
            </w:pPr>
          </w:p>
        </w:tc>
      </w:tr>
      <w:tr w:rsidR="00AE5BC8" w:rsidRPr="008E1239" w14:paraId="01D58F95" w14:textId="77777777" w:rsidTr="00F410BC">
        <w:tc>
          <w:tcPr>
            <w:tcW w:w="2405" w:type="dxa"/>
            <w:vMerge w:val="restart"/>
          </w:tcPr>
          <w:p w14:paraId="7C065BA4" w14:textId="77777777" w:rsidR="00AE5BC8" w:rsidRPr="00AE5BC8" w:rsidRDefault="00AE5BC8" w:rsidP="00F410BC">
            <w:pPr>
              <w:spacing w:line="240" w:lineRule="auto"/>
              <w:contextualSpacing/>
              <w:jc w:val="both"/>
              <w:rPr>
                <w:rFonts w:cs="Calibri"/>
                <w:color w:val="000000"/>
                <w:kern w:val="24"/>
                <w:sz w:val="20"/>
                <w:szCs w:val="20"/>
                <w:lang w:val="en-US"/>
              </w:rPr>
            </w:pPr>
            <w:r w:rsidRPr="00AE5BC8">
              <w:rPr>
                <w:rFonts w:cs="Calibri"/>
                <w:color w:val="000000"/>
                <w:kern w:val="24"/>
                <w:sz w:val="20"/>
                <w:szCs w:val="20"/>
                <w:lang w:val="en-US"/>
              </w:rPr>
              <w:t>Harvesting of lessons to inform practices and standards</w:t>
            </w:r>
          </w:p>
        </w:tc>
        <w:tc>
          <w:tcPr>
            <w:tcW w:w="6237" w:type="dxa"/>
            <w:gridSpan w:val="5"/>
          </w:tcPr>
          <w:p w14:paraId="1AF69C44" w14:textId="77777777"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Public and private sectors of other landscapes participate in the sharing and implementation of learning and tools</w:t>
            </w:r>
          </w:p>
        </w:tc>
      </w:tr>
      <w:tr w:rsidR="00AE5BC8" w:rsidRPr="008E1239" w14:paraId="1B8491E2" w14:textId="77777777" w:rsidTr="00F410BC">
        <w:trPr>
          <w:trHeight w:val="719"/>
        </w:trPr>
        <w:tc>
          <w:tcPr>
            <w:tcW w:w="2405" w:type="dxa"/>
            <w:vMerge/>
          </w:tcPr>
          <w:p w14:paraId="78F2076A" w14:textId="77777777" w:rsidR="00AE5BC8" w:rsidRPr="00AE5BC8" w:rsidRDefault="00AE5BC8" w:rsidP="00AE5BC8">
            <w:pPr>
              <w:spacing w:after="240"/>
              <w:contextualSpacing/>
              <w:jc w:val="both"/>
              <w:rPr>
                <w:rFonts w:cs="Calibri"/>
                <w:color w:val="000000"/>
                <w:kern w:val="24"/>
                <w:sz w:val="20"/>
                <w:szCs w:val="20"/>
                <w:lang w:val="en-US"/>
              </w:rPr>
            </w:pPr>
          </w:p>
        </w:tc>
        <w:tc>
          <w:tcPr>
            <w:tcW w:w="6237" w:type="dxa"/>
            <w:gridSpan w:val="5"/>
          </w:tcPr>
          <w:p w14:paraId="781367DD" w14:textId="77777777" w:rsidR="00AE5BC8" w:rsidRPr="00AE5BC8" w:rsidRDefault="00AE5BC8" w:rsidP="00AE5BC8">
            <w:pPr>
              <w:spacing w:after="240"/>
              <w:contextualSpacing/>
              <w:jc w:val="both"/>
              <w:rPr>
                <w:rFonts w:cs="Calibri"/>
                <w:color w:val="000000"/>
                <w:kern w:val="24"/>
                <w:sz w:val="20"/>
                <w:szCs w:val="20"/>
                <w:lang w:val="en-US"/>
              </w:rPr>
            </w:pPr>
            <w:r w:rsidRPr="00AE5BC8">
              <w:rPr>
                <w:rFonts w:cs="Calibri"/>
                <w:color w:val="000000"/>
                <w:kern w:val="24"/>
                <w:sz w:val="20"/>
                <w:szCs w:val="20"/>
                <w:lang w:val="en-US"/>
              </w:rPr>
              <w:t>Awareness among local, national and international stakeholders</w:t>
            </w:r>
          </w:p>
        </w:tc>
      </w:tr>
    </w:tbl>
    <w:p w14:paraId="0DDDC7DA" w14:textId="77777777" w:rsidR="00F410BC" w:rsidRDefault="00AE5BC8" w:rsidP="00FF48E8">
      <w:pPr>
        <w:pStyle w:val="Bijschrift"/>
      </w:pPr>
      <w:r>
        <w:t xml:space="preserve"> </w:t>
      </w:r>
    </w:p>
    <w:p w14:paraId="4E5D0042" w14:textId="77777777" w:rsidR="00F410BC" w:rsidRDefault="00F410BC" w:rsidP="00FF48E8">
      <w:pPr>
        <w:pStyle w:val="Bijschrift"/>
      </w:pPr>
    </w:p>
    <w:p w14:paraId="47DD43AC" w14:textId="0387F92D" w:rsidR="00FF48E8" w:rsidRDefault="00FF48E8" w:rsidP="00FF48E8">
      <w:pPr>
        <w:pStyle w:val="Bijschrift"/>
      </w:pPr>
      <w:r>
        <w:t xml:space="preserve">Table </w:t>
      </w:r>
      <w:r>
        <w:fldChar w:fldCharType="begin"/>
      </w:r>
      <w:r>
        <w:instrText xml:space="preserve"> SEQ Table \* ARABIC </w:instrText>
      </w:r>
      <w:r>
        <w:fldChar w:fldCharType="separate"/>
      </w:r>
      <w:r w:rsidR="00D12D4D">
        <w:rPr>
          <w:noProof/>
        </w:rPr>
        <w:t>1</w:t>
      </w:r>
      <w:r>
        <w:fldChar w:fldCharType="end"/>
      </w:r>
      <w:r>
        <w:t xml:space="preserve">: </w:t>
      </w:r>
      <w:r w:rsidR="00AE5BC8">
        <w:t>Approximate timeline for landscape outcomes</w:t>
      </w:r>
    </w:p>
    <w:p w14:paraId="05C36719" w14:textId="77777777" w:rsidR="00F410BC" w:rsidRPr="00F410BC" w:rsidRDefault="00F410BC" w:rsidP="00F410BC">
      <w:pPr>
        <w:rPr>
          <w:lang w:val="en-GB"/>
        </w:rPr>
      </w:pPr>
    </w:p>
    <w:p w14:paraId="78DE13A4" w14:textId="525AC5EB" w:rsidR="00DA0F28" w:rsidRDefault="00F6756E" w:rsidP="00450E9B">
      <w:pPr>
        <w:pStyle w:val="Kop1"/>
      </w:pPr>
      <w:r>
        <w:t>landscape budget</w:t>
      </w:r>
    </w:p>
    <w:p w14:paraId="09A53E08" w14:textId="77777777" w:rsidR="003F183D" w:rsidRDefault="003F183D" w:rsidP="00DA0F28">
      <w:pPr>
        <w:pStyle w:val="Bijschrift"/>
        <w:keepNext/>
      </w:pPr>
    </w:p>
    <w:p w14:paraId="7AA46247" w14:textId="372460E0" w:rsidR="00DA0F28" w:rsidRDefault="00DA0F28" w:rsidP="00DA0F28">
      <w:pPr>
        <w:pStyle w:val="Bijschrift"/>
        <w:keepNext/>
      </w:pPr>
      <w:r>
        <w:t xml:space="preserve">Table </w:t>
      </w:r>
      <w:r>
        <w:fldChar w:fldCharType="begin"/>
      </w:r>
      <w:r>
        <w:instrText xml:space="preserve"> SEQ Table \* ARABIC </w:instrText>
      </w:r>
      <w:r>
        <w:fldChar w:fldCharType="separate"/>
      </w:r>
      <w:r w:rsidR="00D12D4D">
        <w:rPr>
          <w:noProof/>
        </w:rPr>
        <w:t>2</w:t>
      </w:r>
      <w:r>
        <w:fldChar w:fldCharType="end"/>
      </w:r>
      <w:r>
        <w:t>: Landscape budget</w:t>
      </w:r>
    </w:p>
    <w:tbl>
      <w:tblPr>
        <w:tblW w:w="9280" w:type="dxa"/>
        <w:tblCellMar>
          <w:left w:w="70" w:type="dxa"/>
          <w:right w:w="70" w:type="dxa"/>
        </w:tblCellMar>
        <w:tblLook w:val="04A0" w:firstRow="1" w:lastRow="0" w:firstColumn="1" w:lastColumn="0" w:noHBand="0" w:noVBand="1"/>
      </w:tblPr>
      <w:tblGrid>
        <w:gridCol w:w="1733"/>
        <w:gridCol w:w="1347"/>
        <w:gridCol w:w="1240"/>
        <w:gridCol w:w="1240"/>
        <w:gridCol w:w="1240"/>
        <w:gridCol w:w="1240"/>
        <w:gridCol w:w="1240"/>
      </w:tblGrid>
      <w:tr w:rsidR="00DA0F28" w:rsidRPr="00DA0F28" w14:paraId="7EB258EF" w14:textId="77777777" w:rsidTr="00DA0F28">
        <w:trPr>
          <w:trHeight w:val="312"/>
        </w:trPr>
        <w:tc>
          <w:tcPr>
            <w:tcW w:w="3080" w:type="dxa"/>
            <w:gridSpan w:val="2"/>
            <w:tcBorders>
              <w:top w:val="nil"/>
              <w:left w:val="nil"/>
              <w:bottom w:val="nil"/>
              <w:right w:val="nil"/>
            </w:tcBorders>
            <w:shd w:val="clear" w:color="auto" w:fill="auto"/>
            <w:noWrap/>
            <w:hideMark/>
          </w:tcPr>
          <w:p w14:paraId="0F5B269F" w14:textId="77777777" w:rsidR="00DA0F28" w:rsidRPr="00DA0F28" w:rsidRDefault="00DA0F28" w:rsidP="00DA0F28">
            <w:pPr>
              <w:spacing w:line="240" w:lineRule="auto"/>
              <w:rPr>
                <w:rFonts w:ascii="Calibri" w:hAnsi="Calibri" w:cs="Calibri"/>
                <w:b/>
                <w:bCs/>
                <w:color w:val="000000"/>
                <w:sz w:val="24"/>
                <w:lang w:eastAsia="nl-NL"/>
              </w:rPr>
            </w:pPr>
            <w:r w:rsidRPr="00DA0F28">
              <w:rPr>
                <w:rFonts w:ascii="Calibri" w:hAnsi="Calibri" w:cs="Calibri"/>
                <w:b/>
                <w:bCs/>
                <w:color w:val="000000"/>
                <w:sz w:val="24"/>
                <w:lang w:eastAsia="nl-NL"/>
              </w:rPr>
              <w:t>BUDGET - GHANA (TBI)</w:t>
            </w:r>
          </w:p>
        </w:tc>
        <w:tc>
          <w:tcPr>
            <w:tcW w:w="1240" w:type="dxa"/>
            <w:tcBorders>
              <w:top w:val="nil"/>
              <w:left w:val="nil"/>
              <w:bottom w:val="nil"/>
              <w:right w:val="nil"/>
            </w:tcBorders>
            <w:shd w:val="clear" w:color="auto" w:fill="auto"/>
            <w:noWrap/>
            <w:vAlign w:val="bottom"/>
            <w:hideMark/>
          </w:tcPr>
          <w:p w14:paraId="36E559BC" w14:textId="77777777" w:rsidR="00DA0F28" w:rsidRPr="00DA0F28" w:rsidRDefault="00DA0F28" w:rsidP="00DA0F28">
            <w:pPr>
              <w:spacing w:line="240" w:lineRule="auto"/>
              <w:rPr>
                <w:rFonts w:ascii="Calibri" w:hAnsi="Calibri" w:cs="Calibri"/>
                <w:b/>
                <w:bCs/>
                <w:color w:val="000000"/>
                <w:sz w:val="24"/>
                <w:lang w:eastAsia="nl-NL"/>
              </w:rPr>
            </w:pPr>
          </w:p>
        </w:tc>
        <w:tc>
          <w:tcPr>
            <w:tcW w:w="1240" w:type="dxa"/>
            <w:tcBorders>
              <w:top w:val="nil"/>
              <w:left w:val="nil"/>
              <w:bottom w:val="nil"/>
              <w:right w:val="nil"/>
            </w:tcBorders>
            <w:shd w:val="clear" w:color="auto" w:fill="auto"/>
            <w:noWrap/>
            <w:vAlign w:val="bottom"/>
            <w:hideMark/>
          </w:tcPr>
          <w:p w14:paraId="17B04F13"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61D65435"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766959F4"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42ACEAA3" w14:textId="77777777" w:rsidR="00DA0F28" w:rsidRPr="00DA0F28" w:rsidRDefault="00DA0F28" w:rsidP="00DA0F28">
            <w:pPr>
              <w:spacing w:line="240" w:lineRule="auto"/>
              <w:rPr>
                <w:rFonts w:ascii="Times New Roman" w:hAnsi="Times New Roman"/>
                <w:szCs w:val="20"/>
                <w:lang w:eastAsia="nl-NL"/>
              </w:rPr>
            </w:pPr>
          </w:p>
        </w:tc>
      </w:tr>
      <w:tr w:rsidR="00DA0F28" w:rsidRPr="00DA0F28" w14:paraId="44C453D4" w14:textId="77777777" w:rsidTr="00DA0F28">
        <w:trPr>
          <w:trHeight w:val="276"/>
        </w:trPr>
        <w:tc>
          <w:tcPr>
            <w:tcW w:w="1733" w:type="dxa"/>
            <w:tcBorders>
              <w:top w:val="nil"/>
              <w:left w:val="nil"/>
              <w:bottom w:val="nil"/>
              <w:right w:val="nil"/>
            </w:tcBorders>
            <w:shd w:val="clear" w:color="auto" w:fill="auto"/>
            <w:noWrap/>
            <w:vAlign w:val="bottom"/>
            <w:hideMark/>
          </w:tcPr>
          <w:p w14:paraId="1B0AD458" w14:textId="77777777" w:rsidR="00DA0F28" w:rsidRPr="00DA0F28" w:rsidRDefault="00DA0F28" w:rsidP="00DA0F28">
            <w:pPr>
              <w:spacing w:line="240" w:lineRule="auto"/>
              <w:jc w:val="right"/>
              <w:rPr>
                <w:rFonts w:ascii="Calibri" w:hAnsi="Calibri" w:cs="Calibri"/>
                <w:i/>
                <w:iCs/>
                <w:color w:val="000000"/>
                <w:sz w:val="18"/>
                <w:szCs w:val="18"/>
                <w:lang w:eastAsia="nl-NL"/>
              </w:rPr>
            </w:pPr>
            <w:r w:rsidRPr="00DA0F28">
              <w:rPr>
                <w:rFonts w:ascii="Calibri" w:hAnsi="Calibri" w:cs="Calibri"/>
                <w:i/>
                <w:iCs/>
                <w:color w:val="000000"/>
                <w:sz w:val="18"/>
                <w:szCs w:val="18"/>
                <w:lang w:eastAsia="nl-NL"/>
              </w:rPr>
              <w:t>in €</w:t>
            </w:r>
          </w:p>
        </w:tc>
        <w:tc>
          <w:tcPr>
            <w:tcW w:w="1347" w:type="dxa"/>
            <w:tcBorders>
              <w:top w:val="nil"/>
              <w:left w:val="nil"/>
              <w:bottom w:val="nil"/>
              <w:right w:val="nil"/>
            </w:tcBorders>
            <w:shd w:val="clear" w:color="auto" w:fill="auto"/>
            <w:noWrap/>
            <w:vAlign w:val="bottom"/>
            <w:hideMark/>
          </w:tcPr>
          <w:p w14:paraId="0980EFD7" w14:textId="77777777" w:rsidR="00DA0F28" w:rsidRPr="00DA0F28" w:rsidRDefault="00DA0F28" w:rsidP="00DA0F28">
            <w:pPr>
              <w:spacing w:line="240" w:lineRule="auto"/>
              <w:jc w:val="right"/>
              <w:rPr>
                <w:rFonts w:ascii="Calibri" w:hAnsi="Calibri" w:cs="Calibri"/>
                <w:i/>
                <w:iCs/>
                <w:color w:val="000000"/>
                <w:sz w:val="18"/>
                <w:szCs w:val="18"/>
                <w:lang w:eastAsia="nl-NL"/>
              </w:rPr>
            </w:pPr>
          </w:p>
        </w:tc>
        <w:tc>
          <w:tcPr>
            <w:tcW w:w="1240" w:type="dxa"/>
            <w:tcBorders>
              <w:top w:val="nil"/>
              <w:left w:val="nil"/>
              <w:bottom w:val="nil"/>
              <w:right w:val="nil"/>
            </w:tcBorders>
            <w:shd w:val="clear" w:color="auto" w:fill="auto"/>
            <w:noWrap/>
            <w:vAlign w:val="bottom"/>
            <w:hideMark/>
          </w:tcPr>
          <w:p w14:paraId="327DC39A"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1DC5C323"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46DBE789"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7D4E5A18" w14:textId="77777777" w:rsidR="00DA0F28" w:rsidRPr="00DA0F28" w:rsidRDefault="00DA0F28" w:rsidP="00DA0F28">
            <w:pPr>
              <w:spacing w:line="240" w:lineRule="auto"/>
              <w:rPr>
                <w:rFonts w:ascii="Times New Roman" w:hAnsi="Times New Roman"/>
                <w:szCs w:val="20"/>
                <w:lang w:eastAsia="nl-NL"/>
              </w:rPr>
            </w:pPr>
          </w:p>
        </w:tc>
        <w:tc>
          <w:tcPr>
            <w:tcW w:w="1240" w:type="dxa"/>
            <w:tcBorders>
              <w:top w:val="nil"/>
              <w:left w:val="nil"/>
              <w:bottom w:val="nil"/>
              <w:right w:val="nil"/>
            </w:tcBorders>
            <w:shd w:val="clear" w:color="auto" w:fill="auto"/>
            <w:noWrap/>
            <w:vAlign w:val="bottom"/>
            <w:hideMark/>
          </w:tcPr>
          <w:p w14:paraId="41E33711" w14:textId="77777777" w:rsidR="00DA0F28" w:rsidRPr="00DA0F28" w:rsidRDefault="00DA0F28" w:rsidP="00DA0F28">
            <w:pPr>
              <w:spacing w:line="240" w:lineRule="auto"/>
              <w:rPr>
                <w:rFonts w:ascii="Times New Roman" w:hAnsi="Times New Roman"/>
                <w:szCs w:val="20"/>
                <w:lang w:eastAsia="nl-NL"/>
              </w:rPr>
            </w:pPr>
          </w:p>
        </w:tc>
      </w:tr>
      <w:tr w:rsidR="00DA0F28" w:rsidRPr="00DA0F28" w14:paraId="593F3B77" w14:textId="77777777" w:rsidTr="00DA0F28">
        <w:trPr>
          <w:trHeight w:val="276"/>
        </w:trPr>
        <w:tc>
          <w:tcPr>
            <w:tcW w:w="1733" w:type="dxa"/>
            <w:tcBorders>
              <w:top w:val="nil"/>
              <w:left w:val="nil"/>
              <w:bottom w:val="nil"/>
              <w:right w:val="nil"/>
            </w:tcBorders>
            <w:shd w:val="clear" w:color="auto" w:fill="auto"/>
            <w:noWrap/>
            <w:vAlign w:val="bottom"/>
            <w:hideMark/>
          </w:tcPr>
          <w:p w14:paraId="3AD0BEE3" w14:textId="77777777" w:rsidR="00DA0F28" w:rsidRPr="00DA0F28" w:rsidRDefault="00DA0F28" w:rsidP="00DA0F28">
            <w:pPr>
              <w:spacing w:line="240" w:lineRule="auto"/>
              <w:rPr>
                <w:rFonts w:ascii="Times New Roman" w:hAnsi="Times New Roman"/>
                <w:szCs w:val="20"/>
                <w:lang w:eastAsia="nl-NL"/>
              </w:rPr>
            </w:pPr>
          </w:p>
        </w:tc>
        <w:tc>
          <w:tcPr>
            <w:tcW w:w="1347" w:type="dxa"/>
            <w:tcBorders>
              <w:top w:val="nil"/>
              <w:left w:val="nil"/>
              <w:bottom w:val="nil"/>
              <w:right w:val="nil"/>
            </w:tcBorders>
            <w:shd w:val="clear" w:color="000000" w:fill="F8CBAD"/>
            <w:noWrap/>
            <w:vAlign w:val="bottom"/>
            <w:hideMark/>
          </w:tcPr>
          <w:p w14:paraId="7537E041"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2020</w:t>
            </w:r>
          </w:p>
        </w:tc>
        <w:tc>
          <w:tcPr>
            <w:tcW w:w="1240" w:type="dxa"/>
            <w:tcBorders>
              <w:top w:val="nil"/>
              <w:left w:val="nil"/>
              <w:bottom w:val="nil"/>
              <w:right w:val="nil"/>
            </w:tcBorders>
            <w:shd w:val="clear" w:color="000000" w:fill="F8CBAD"/>
            <w:noWrap/>
            <w:vAlign w:val="bottom"/>
            <w:hideMark/>
          </w:tcPr>
          <w:p w14:paraId="7BA31CFD"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2021</w:t>
            </w:r>
          </w:p>
        </w:tc>
        <w:tc>
          <w:tcPr>
            <w:tcW w:w="1240" w:type="dxa"/>
            <w:tcBorders>
              <w:top w:val="nil"/>
              <w:left w:val="nil"/>
              <w:bottom w:val="nil"/>
              <w:right w:val="nil"/>
            </w:tcBorders>
            <w:shd w:val="clear" w:color="000000" w:fill="F8CBAD"/>
            <w:noWrap/>
            <w:vAlign w:val="bottom"/>
            <w:hideMark/>
          </w:tcPr>
          <w:p w14:paraId="3B9C0E05"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2022</w:t>
            </w:r>
          </w:p>
        </w:tc>
        <w:tc>
          <w:tcPr>
            <w:tcW w:w="1240" w:type="dxa"/>
            <w:tcBorders>
              <w:top w:val="nil"/>
              <w:left w:val="nil"/>
              <w:bottom w:val="nil"/>
              <w:right w:val="nil"/>
            </w:tcBorders>
            <w:shd w:val="clear" w:color="000000" w:fill="F8CBAD"/>
            <w:noWrap/>
            <w:vAlign w:val="bottom"/>
            <w:hideMark/>
          </w:tcPr>
          <w:p w14:paraId="6CD2B63F"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2023</w:t>
            </w:r>
          </w:p>
        </w:tc>
        <w:tc>
          <w:tcPr>
            <w:tcW w:w="1240" w:type="dxa"/>
            <w:tcBorders>
              <w:top w:val="nil"/>
              <w:left w:val="nil"/>
              <w:bottom w:val="nil"/>
              <w:right w:val="nil"/>
            </w:tcBorders>
            <w:shd w:val="clear" w:color="000000" w:fill="F8CBAD"/>
            <w:noWrap/>
            <w:vAlign w:val="bottom"/>
            <w:hideMark/>
          </w:tcPr>
          <w:p w14:paraId="6AA68652"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2024</w:t>
            </w:r>
          </w:p>
        </w:tc>
        <w:tc>
          <w:tcPr>
            <w:tcW w:w="1240" w:type="dxa"/>
            <w:tcBorders>
              <w:top w:val="nil"/>
              <w:left w:val="nil"/>
              <w:bottom w:val="nil"/>
              <w:right w:val="nil"/>
            </w:tcBorders>
            <w:shd w:val="clear" w:color="000000" w:fill="F8CBAD"/>
            <w:noWrap/>
            <w:vAlign w:val="bottom"/>
            <w:hideMark/>
          </w:tcPr>
          <w:p w14:paraId="117BE650" w14:textId="77777777" w:rsidR="00DA0F28" w:rsidRPr="00DA0F28" w:rsidRDefault="00DA0F28" w:rsidP="00DA0F28">
            <w:pPr>
              <w:spacing w:line="240" w:lineRule="auto"/>
              <w:jc w:val="center"/>
              <w:rPr>
                <w:rFonts w:ascii="Calibri" w:hAnsi="Calibri" w:cs="Calibri"/>
                <w:b/>
                <w:bCs/>
                <w:color w:val="000000"/>
                <w:szCs w:val="20"/>
                <w:u w:val="single"/>
                <w:lang w:eastAsia="nl-NL"/>
              </w:rPr>
            </w:pPr>
            <w:r w:rsidRPr="00DA0F28">
              <w:rPr>
                <w:rFonts w:ascii="Calibri" w:hAnsi="Calibri" w:cs="Calibri"/>
                <w:b/>
                <w:bCs/>
                <w:color w:val="000000"/>
                <w:szCs w:val="20"/>
                <w:u w:val="single"/>
                <w:lang w:eastAsia="nl-NL"/>
              </w:rPr>
              <w:t>Total</w:t>
            </w:r>
          </w:p>
        </w:tc>
      </w:tr>
      <w:tr w:rsidR="00DA0F28" w:rsidRPr="00DA0F28" w14:paraId="7F475BE8" w14:textId="77777777" w:rsidTr="00DA0F28">
        <w:trPr>
          <w:trHeight w:val="276"/>
        </w:trPr>
        <w:tc>
          <w:tcPr>
            <w:tcW w:w="1733" w:type="dxa"/>
            <w:tcBorders>
              <w:top w:val="nil"/>
              <w:left w:val="nil"/>
              <w:bottom w:val="nil"/>
              <w:right w:val="nil"/>
            </w:tcBorders>
            <w:shd w:val="clear" w:color="auto" w:fill="auto"/>
            <w:noWrap/>
            <w:vAlign w:val="bottom"/>
            <w:hideMark/>
          </w:tcPr>
          <w:p w14:paraId="69D92B1B"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Outcome</w:t>
            </w:r>
            <w:proofErr w:type="spellEnd"/>
            <w:r w:rsidRPr="00DA0F28">
              <w:rPr>
                <w:rFonts w:ascii="Calibri" w:hAnsi="Calibri" w:cs="Calibri"/>
                <w:color w:val="000000"/>
                <w:szCs w:val="20"/>
                <w:lang w:eastAsia="nl-NL"/>
              </w:rPr>
              <w:t xml:space="preserve"> 1</w:t>
            </w:r>
          </w:p>
        </w:tc>
        <w:tc>
          <w:tcPr>
            <w:tcW w:w="1347" w:type="dxa"/>
            <w:tcBorders>
              <w:top w:val="nil"/>
              <w:left w:val="nil"/>
              <w:bottom w:val="nil"/>
              <w:right w:val="nil"/>
            </w:tcBorders>
            <w:shd w:val="clear" w:color="auto" w:fill="auto"/>
            <w:noWrap/>
            <w:vAlign w:val="bottom"/>
            <w:hideMark/>
          </w:tcPr>
          <w:p w14:paraId="4B5793B5"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45,337 </w:t>
            </w:r>
          </w:p>
        </w:tc>
        <w:tc>
          <w:tcPr>
            <w:tcW w:w="1240" w:type="dxa"/>
            <w:tcBorders>
              <w:top w:val="nil"/>
              <w:left w:val="nil"/>
              <w:bottom w:val="nil"/>
              <w:right w:val="nil"/>
            </w:tcBorders>
            <w:shd w:val="clear" w:color="auto" w:fill="auto"/>
            <w:noWrap/>
            <w:vAlign w:val="bottom"/>
            <w:hideMark/>
          </w:tcPr>
          <w:p w14:paraId="79CA6BFB"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22,652 </w:t>
            </w:r>
          </w:p>
        </w:tc>
        <w:tc>
          <w:tcPr>
            <w:tcW w:w="1240" w:type="dxa"/>
            <w:tcBorders>
              <w:top w:val="nil"/>
              <w:left w:val="nil"/>
              <w:bottom w:val="nil"/>
              <w:right w:val="nil"/>
            </w:tcBorders>
            <w:shd w:val="clear" w:color="auto" w:fill="auto"/>
            <w:noWrap/>
            <w:vAlign w:val="bottom"/>
            <w:hideMark/>
          </w:tcPr>
          <w:p w14:paraId="659D653B"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15,684 </w:t>
            </w:r>
          </w:p>
        </w:tc>
        <w:tc>
          <w:tcPr>
            <w:tcW w:w="1240" w:type="dxa"/>
            <w:tcBorders>
              <w:top w:val="nil"/>
              <w:left w:val="nil"/>
              <w:bottom w:val="nil"/>
              <w:right w:val="nil"/>
            </w:tcBorders>
            <w:shd w:val="clear" w:color="auto" w:fill="auto"/>
            <w:noWrap/>
            <w:vAlign w:val="bottom"/>
            <w:hideMark/>
          </w:tcPr>
          <w:p w14:paraId="62417BBF"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14,794 </w:t>
            </w:r>
          </w:p>
        </w:tc>
        <w:tc>
          <w:tcPr>
            <w:tcW w:w="1240" w:type="dxa"/>
            <w:tcBorders>
              <w:top w:val="nil"/>
              <w:left w:val="nil"/>
              <w:bottom w:val="nil"/>
              <w:right w:val="nil"/>
            </w:tcBorders>
            <w:shd w:val="clear" w:color="auto" w:fill="auto"/>
            <w:noWrap/>
            <w:vAlign w:val="bottom"/>
            <w:hideMark/>
          </w:tcPr>
          <w:p w14:paraId="05353D22"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9,608 </w:t>
            </w:r>
          </w:p>
        </w:tc>
        <w:tc>
          <w:tcPr>
            <w:tcW w:w="1240" w:type="dxa"/>
            <w:tcBorders>
              <w:top w:val="nil"/>
              <w:left w:val="nil"/>
              <w:bottom w:val="nil"/>
              <w:right w:val="nil"/>
            </w:tcBorders>
            <w:shd w:val="clear" w:color="auto" w:fill="auto"/>
            <w:noWrap/>
            <w:vAlign w:val="bottom"/>
            <w:hideMark/>
          </w:tcPr>
          <w:p w14:paraId="667706A9"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108,075 </w:t>
            </w:r>
          </w:p>
        </w:tc>
      </w:tr>
      <w:tr w:rsidR="00DA0F28" w:rsidRPr="00DA0F28" w14:paraId="4980DC66" w14:textId="77777777" w:rsidTr="00DA0F28">
        <w:trPr>
          <w:trHeight w:val="276"/>
        </w:trPr>
        <w:tc>
          <w:tcPr>
            <w:tcW w:w="1733" w:type="dxa"/>
            <w:tcBorders>
              <w:top w:val="nil"/>
              <w:left w:val="nil"/>
              <w:bottom w:val="nil"/>
              <w:right w:val="nil"/>
            </w:tcBorders>
            <w:shd w:val="clear" w:color="auto" w:fill="auto"/>
            <w:noWrap/>
            <w:vAlign w:val="bottom"/>
            <w:hideMark/>
          </w:tcPr>
          <w:p w14:paraId="6F9DBD4D"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Outcome</w:t>
            </w:r>
            <w:proofErr w:type="spellEnd"/>
            <w:r w:rsidRPr="00DA0F28">
              <w:rPr>
                <w:rFonts w:ascii="Calibri" w:hAnsi="Calibri" w:cs="Calibri"/>
                <w:color w:val="000000"/>
                <w:szCs w:val="20"/>
                <w:lang w:eastAsia="nl-NL"/>
              </w:rPr>
              <w:t xml:space="preserve"> 2</w:t>
            </w:r>
          </w:p>
        </w:tc>
        <w:tc>
          <w:tcPr>
            <w:tcW w:w="1347" w:type="dxa"/>
            <w:tcBorders>
              <w:top w:val="nil"/>
              <w:left w:val="nil"/>
              <w:bottom w:val="nil"/>
              <w:right w:val="nil"/>
            </w:tcBorders>
            <w:shd w:val="clear" w:color="auto" w:fill="auto"/>
            <w:noWrap/>
            <w:vAlign w:val="bottom"/>
            <w:hideMark/>
          </w:tcPr>
          <w:p w14:paraId="11743414"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84,376 </w:t>
            </w:r>
          </w:p>
        </w:tc>
        <w:tc>
          <w:tcPr>
            <w:tcW w:w="1240" w:type="dxa"/>
            <w:tcBorders>
              <w:top w:val="nil"/>
              <w:left w:val="nil"/>
              <w:bottom w:val="nil"/>
              <w:right w:val="nil"/>
            </w:tcBorders>
            <w:shd w:val="clear" w:color="auto" w:fill="auto"/>
            <w:noWrap/>
            <w:vAlign w:val="bottom"/>
            <w:hideMark/>
          </w:tcPr>
          <w:p w14:paraId="31FE958B"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126,992 </w:t>
            </w:r>
          </w:p>
        </w:tc>
        <w:tc>
          <w:tcPr>
            <w:tcW w:w="1240" w:type="dxa"/>
            <w:tcBorders>
              <w:top w:val="nil"/>
              <w:left w:val="nil"/>
              <w:bottom w:val="nil"/>
              <w:right w:val="nil"/>
            </w:tcBorders>
            <w:shd w:val="clear" w:color="auto" w:fill="auto"/>
            <w:noWrap/>
            <w:vAlign w:val="bottom"/>
            <w:hideMark/>
          </w:tcPr>
          <w:p w14:paraId="0EBBCAC5"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93,078 </w:t>
            </w:r>
          </w:p>
        </w:tc>
        <w:tc>
          <w:tcPr>
            <w:tcW w:w="1240" w:type="dxa"/>
            <w:tcBorders>
              <w:top w:val="nil"/>
              <w:left w:val="nil"/>
              <w:bottom w:val="nil"/>
              <w:right w:val="nil"/>
            </w:tcBorders>
            <w:shd w:val="clear" w:color="auto" w:fill="auto"/>
            <w:noWrap/>
            <w:vAlign w:val="bottom"/>
            <w:hideMark/>
          </w:tcPr>
          <w:p w14:paraId="555E8FCD"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136,938 </w:t>
            </w:r>
          </w:p>
        </w:tc>
        <w:tc>
          <w:tcPr>
            <w:tcW w:w="1240" w:type="dxa"/>
            <w:tcBorders>
              <w:top w:val="nil"/>
              <w:left w:val="nil"/>
              <w:bottom w:val="nil"/>
              <w:right w:val="nil"/>
            </w:tcBorders>
            <w:shd w:val="clear" w:color="auto" w:fill="auto"/>
            <w:noWrap/>
            <w:vAlign w:val="bottom"/>
            <w:hideMark/>
          </w:tcPr>
          <w:p w14:paraId="27BF9A12"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103,834 </w:t>
            </w:r>
          </w:p>
        </w:tc>
        <w:tc>
          <w:tcPr>
            <w:tcW w:w="1240" w:type="dxa"/>
            <w:tcBorders>
              <w:top w:val="nil"/>
              <w:left w:val="nil"/>
              <w:bottom w:val="nil"/>
              <w:right w:val="nil"/>
            </w:tcBorders>
            <w:shd w:val="clear" w:color="auto" w:fill="auto"/>
            <w:noWrap/>
            <w:vAlign w:val="bottom"/>
            <w:hideMark/>
          </w:tcPr>
          <w:p w14:paraId="7C865BE8"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545,218 </w:t>
            </w:r>
          </w:p>
        </w:tc>
      </w:tr>
      <w:tr w:rsidR="00DA0F28" w:rsidRPr="00DA0F28" w14:paraId="654FB76A" w14:textId="77777777" w:rsidTr="00DA0F28">
        <w:trPr>
          <w:trHeight w:val="276"/>
        </w:trPr>
        <w:tc>
          <w:tcPr>
            <w:tcW w:w="1733" w:type="dxa"/>
            <w:tcBorders>
              <w:top w:val="nil"/>
              <w:left w:val="nil"/>
              <w:bottom w:val="nil"/>
              <w:right w:val="nil"/>
            </w:tcBorders>
            <w:shd w:val="clear" w:color="auto" w:fill="auto"/>
            <w:noWrap/>
            <w:vAlign w:val="bottom"/>
            <w:hideMark/>
          </w:tcPr>
          <w:p w14:paraId="6F941E7A"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Outcome</w:t>
            </w:r>
            <w:proofErr w:type="spellEnd"/>
            <w:r w:rsidRPr="00DA0F28">
              <w:rPr>
                <w:rFonts w:ascii="Calibri" w:hAnsi="Calibri" w:cs="Calibri"/>
                <w:color w:val="000000"/>
                <w:szCs w:val="20"/>
                <w:lang w:eastAsia="nl-NL"/>
              </w:rPr>
              <w:t xml:space="preserve"> 3</w:t>
            </w:r>
          </w:p>
        </w:tc>
        <w:tc>
          <w:tcPr>
            <w:tcW w:w="1347" w:type="dxa"/>
            <w:tcBorders>
              <w:top w:val="nil"/>
              <w:left w:val="nil"/>
              <w:bottom w:val="nil"/>
              <w:right w:val="nil"/>
            </w:tcBorders>
            <w:shd w:val="clear" w:color="auto" w:fill="auto"/>
            <w:noWrap/>
            <w:vAlign w:val="bottom"/>
            <w:hideMark/>
          </w:tcPr>
          <w:p w14:paraId="20621DF7"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5,594 </w:t>
            </w:r>
          </w:p>
        </w:tc>
        <w:tc>
          <w:tcPr>
            <w:tcW w:w="1240" w:type="dxa"/>
            <w:tcBorders>
              <w:top w:val="nil"/>
              <w:left w:val="nil"/>
              <w:bottom w:val="nil"/>
              <w:right w:val="nil"/>
            </w:tcBorders>
            <w:shd w:val="clear" w:color="auto" w:fill="auto"/>
            <w:noWrap/>
            <w:vAlign w:val="bottom"/>
            <w:hideMark/>
          </w:tcPr>
          <w:p w14:paraId="6F245914"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26,309 </w:t>
            </w:r>
          </w:p>
        </w:tc>
        <w:tc>
          <w:tcPr>
            <w:tcW w:w="1240" w:type="dxa"/>
            <w:tcBorders>
              <w:top w:val="nil"/>
              <w:left w:val="nil"/>
              <w:bottom w:val="nil"/>
              <w:right w:val="nil"/>
            </w:tcBorders>
            <w:shd w:val="clear" w:color="auto" w:fill="auto"/>
            <w:noWrap/>
            <w:vAlign w:val="bottom"/>
            <w:hideMark/>
          </w:tcPr>
          <w:p w14:paraId="607A57FD"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26,691 </w:t>
            </w:r>
          </w:p>
        </w:tc>
        <w:tc>
          <w:tcPr>
            <w:tcW w:w="1240" w:type="dxa"/>
            <w:tcBorders>
              <w:top w:val="nil"/>
              <w:left w:val="nil"/>
              <w:bottom w:val="nil"/>
              <w:right w:val="nil"/>
            </w:tcBorders>
            <w:shd w:val="clear" w:color="auto" w:fill="auto"/>
            <w:noWrap/>
            <w:vAlign w:val="bottom"/>
            <w:hideMark/>
          </w:tcPr>
          <w:p w14:paraId="508E6B56"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26,204 </w:t>
            </w:r>
          </w:p>
        </w:tc>
        <w:tc>
          <w:tcPr>
            <w:tcW w:w="1240" w:type="dxa"/>
            <w:tcBorders>
              <w:top w:val="nil"/>
              <w:left w:val="nil"/>
              <w:bottom w:val="nil"/>
              <w:right w:val="nil"/>
            </w:tcBorders>
            <w:shd w:val="clear" w:color="auto" w:fill="auto"/>
            <w:noWrap/>
            <w:vAlign w:val="bottom"/>
            <w:hideMark/>
          </w:tcPr>
          <w:p w14:paraId="02B8A7B3"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26,204 </w:t>
            </w:r>
          </w:p>
        </w:tc>
        <w:tc>
          <w:tcPr>
            <w:tcW w:w="1240" w:type="dxa"/>
            <w:tcBorders>
              <w:top w:val="nil"/>
              <w:left w:val="nil"/>
              <w:bottom w:val="nil"/>
              <w:right w:val="nil"/>
            </w:tcBorders>
            <w:shd w:val="clear" w:color="auto" w:fill="auto"/>
            <w:noWrap/>
            <w:vAlign w:val="bottom"/>
            <w:hideMark/>
          </w:tcPr>
          <w:p w14:paraId="01062F42"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111,002 </w:t>
            </w:r>
          </w:p>
        </w:tc>
      </w:tr>
      <w:tr w:rsidR="00DA0F28" w:rsidRPr="00DA0F28" w14:paraId="62B88B24" w14:textId="77777777" w:rsidTr="00DA0F28">
        <w:trPr>
          <w:trHeight w:val="276"/>
        </w:trPr>
        <w:tc>
          <w:tcPr>
            <w:tcW w:w="1733" w:type="dxa"/>
            <w:tcBorders>
              <w:top w:val="nil"/>
              <w:left w:val="nil"/>
              <w:bottom w:val="nil"/>
              <w:right w:val="nil"/>
            </w:tcBorders>
            <w:shd w:val="clear" w:color="auto" w:fill="auto"/>
            <w:noWrap/>
            <w:vAlign w:val="bottom"/>
            <w:hideMark/>
          </w:tcPr>
          <w:p w14:paraId="3E3C5670"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Other</w:t>
            </w:r>
            <w:proofErr w:type="spellEnd"/>
            <w:r w:rsidRPr="00DA0F28">
              <w:rPr>
                <w:rFonts w:ascii="Calibri" w:hAnsi="Calibri" w:cs="Calibri"/>
                <w:color w:val="000000"/>
                <w:szCs w:val="20"/>
                <w:lang w:eastAsia="nl-NL"/>
              </w:rPr>
              <w:t xml:space="preserve"> </w:t>
            </w:r>
            <w:proofErr w:type="spellStart"/>
            <w:r w:rsidRPr="00DA0F28">
              <w:rPr>
                <w:rFonts w:ascii="Calibri" w:hAnsi="Calibri" w:cs="Calibri"/>
                <w:color w:val="000000"/>
                <w:szCs w:val="20"/>
                <w:lang w:eastAsia="nl-NL"/>
              </w:rPr>
              <w:t>Costs</w:t>
            </w:r>
            <w:proofErr w:type="spellEnd"/>
          </w:p>
        </w:tc>
        <w:tc>
          <w:tcPr>
            <w:tcW w:w="1347" w:type="dxa"/>
            <w:tcBorders>
              <w:top w:val="nil"/>
              <w:left w:val="nil"/>
              <w:bottom w:val="nil"/>
              <w:right w:val="nil"/>
            </w:tcBorders>
            <w:shd w:val="clear" w:color="auto" w:fill="auto"/>
            <w:noWrap/>
            <w:vAlign w:val="bottom"/>
            <w:hideMark/>
          </w:tcPr>
          <w:p w14:paraId="2BCCD3DD"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10,424 </w:t>
            </w:r>
          </w:p>
        </w:tc>
        <w:tc>
          <w:tcPr>
            <w:tcW w:w="1240" w:type="dxa"/>
            <w:tcBorders>
              <w:top w:val="nil"/>
              <w:left w:val="nil"/>
              <w:bottom w:val="nil"/>
              <w:right w:val="nil"/>
            </w:tcBorders>
            <w:shd w:val="clear" w:color="auto" w:fill="auto"/>
            <w:noWrap/>
            <w:vAlign w:val="bottom"/>
            <w:hideMark/>
          </w:tcPr>
          <w:p w14:paraId="6BE8A292"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12,792 </w:t>
            </w:r>
          </w:p>
        </w:tc>
        <w:tc>
          <w:tcPr>
            <w:tcW w:w="1240" w:type="dxa"/>
            <w:tcBorders>
              <w:top w:val="nil"/>
              <w:left w:val="nil"/>
              <w:bottom w:val="nil"/>
              <w:right w:val="nil"/>
            </w:tcBorders>
            <w:shd w:val="clear" w:color="auto" w:fill="auto"/>
            <w:noWrap/>
            <w:vAlign w:val="bottom"/>
            <w:hideMark/>
          </w:tcPr>
          <w:p w14:paraId="56B19A59"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11,417 </w:t>
            </w:r>
          </w:p>
        </w:tc>
        <w:tc>
          <w:tcPr>
            <w:tcW w:w="1240" w:type="dxa"/>
            <w:tcBorders>
              <w:top w:val="nil"/>
              <w:left w:val="nil"/>
              <w:bottom w:val="nil"/>
              <w:right w:val="nil"/>
            </w:tcBorders>
            <w:shd w:val="clear" w:color="auto" w:fill="auto"/>
            <w:noWrap/>
            <w:vAlign w:val="bottom"/>
            <w:hideMark/>
          </w:tcPr>
          <w:p w14:paraId="767B23F7"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12,892 </w:t>
            </w:r>
          </w:p>
        </w:tc>
        <w:tc>
          <w:tcPr>
            <w:tcW w:w="1240" w:type="dxa"/>
            <w:tcBorders>
              <w:top w:val="nil"/>
              <w:left w:val="nil"/>
              <w:bottom w:val="nil"/>
              <w:right w:val="nil"/>
            </w:tcBorders>
            <w:shd w:val="clear" w:color="auto" w:fill="auto"/>
            <w:noWrap/>
            <w:vAlign w:val="bottom"/>
            <w:hideMark/>
          </w:tcPr>
          <w:p w14:paraId="6D1FC08D"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11,189 </w:t>
            </w:r>
          </w:p>
        </w:tc>
        <w:tc>
          <w:tcPr>
            <w:tcW w:w="1240" w:type="dxa"/>
            <w:tcBorders>
              <w:top w:val="nil"/>
              <w:left w:val="nil"/>
              <w:bottom w:val="nil"/>
              <w:right w:val="nil"/>
            </w:tcBorders>
            <w:shd w:val="clear" w:color="auto" w:fill="auto"/>
            <w:noWrap/>
            <w:vAlign w:val="bottom"/>
            <w:hideMark/>
          </w:tcPr>
          <w:p w14:paraId="762ACAF2"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58,714 </w:t>
            </w:r>
          </w:p>
        </w:tc>
      </w:tr>
      <w:tr w:rsidR="00DA0F28" w:rsidRPr="00DA0F28" w14:paraId="3B2F12FF" w14:textId="77777777" w:rsidTr="00DA0F28">
        <w:trPr>
          <w:trHeight w:val="276"/>
        </w:trPr>
        <w:tc>
          <w:tcPr>
            <w:tcW w:w="1733" w:type="dxa"/>
            <w:tcBorders>
              <w:top w:val="nil"/>
              <w:left w:val="nil"/>
              <w:bottom w:val="nil"/>
              <w:right w:val="nil"/>
            </w:tcBorders>
            <w:shd w:val="clear" w:color="auto" w:fill="auto"/>
            <w:noWrap/>
            <w:vAlign w:val="bottom"/>
            <w:hideMark/>
          </w:tcPr>
          <w:p w14:paraId="5CBECD33"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Instutional</w:t>
            </w:r>
            <w:proofErr w:type="spellEnd"/>
            <w:r w:rsidRPr="00DA0F28">
              <w:rPr>
                <w:rFonts w:ascii="Calibri" w:hAnsi="Calibri" w:cs="Calibri"/>
                <w:color w:val="000000"/>
                <w:szCs w:val="20"/>
                <w:lang w:eastAsia="nl-NL"/>
              </w:rPr>
              <w:t xml:space="preserve"> </w:t>
            </w:r>
            <w:proofErr w:type="spellStart"/>
            <w:r w:rsidRPr="00DA0F28">
              <w:rPr>
                <w:rFonts w:ascii="Calibri" w:hAnsi="Calibri" w:cs="Calibri"/>
                <w:color w:val="000000"/>
                <w:szCs w:val="20"/>
                <w:lang w:eastAsia="nl-NL"/>
              </w:rPr>
              <w:t>Costs</w:t>
            </w:r>
            <w:proofErr w:type="spellEnd"/>
          </w:p>
        </w:tc>
        <w:tc>
          <w:tcPr>
            <w:tcW w:w="1347" w:type="dxa"/>
            <w:tcBorders>
              <w:top w:val="nil"/>
              <w:left w:val="nil"/>
              <w:bottom w:val="nil"/>
              <w:right w:val="nil"/>
            </w:tcBorders>
            <w:shd w:val="clear" w:color="auto" w:fill="auto"/>
            <w:noWrap/>
            <w:vAlign w:val="bottom"/>
            <w:hideMark/>
          </w:tcPr>
          <w:p w14:paraId="1ED317AA"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9,185 </w:t>
            </w:r>
          </w:p>
        </w:tc>
        <w:tc>
          <w:tcPr>
            <w:tcW w:w="1240" w:type="dxa"/>
            <w:tcBorders>
              <w:top w:val="nil"/>
              <w:left w:val="nil"/>
              <w:bottom w:val="nil"/>
              <w:right w:val="nil"/>
            </w:tcBorders>
            <w:shd w:val="clear" w:color="auto" w:fill="auto"/>
            <w:noWrap/>
            <w:vAlign w:val="bottom"/>
            <w:hideMark/>
          </w:tcPr>
          <w:p w14:paraId="233F8B15"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12,451 </w:t>
            </w:r>
          </w:p>
        </w:tc>
        <w:tc>
          <w:tcPr>
            <w:tcW w:w="1240" w:type="dxa"/>
            <w:tcBorders>
              <w:top w:val="nil"/>
              <w:left w:val="nil"/>
              <w:bottom w:val="nil"/>
              <w:right w:val="nil"/>
            </w:tcBorders>
            <w:shd w:val="clear" w:color="auto" w:fill="auto"/>
            <w:noWrap/>
            <w:vAlign w:val="bottom"/>
            <w:hideMark/>
          </w:tcPr>
          <w:p w14:paraId="57C7728E"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9,275 </w:t>
            </w:r>
          </w:p>
        </w:tc>
        <w:tc>
          <w:tcPr>
            <w:tcW w:w="1240" w:type="dxa"/>
            <w:tcBorders>
              <w:top w:val="nil"/>
              <w:left w:val="nil"/>
              <w:bottom w:val="nil"/>
              <w:right w:val="nil"/>
            </w:tcBorders>
            <w:shd w:val="clear" w:color="auto" w:fill="auto"/>
            <w:noWrap/>
            <w:vAlign w:val="bottom"/>
            <w:hideMark/>
          </w:tcPr>
          <w:p w14:paraId="198287D5"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13,232 </w:t>
            </w:r>
          </w:p>
        </w:tc>
        <w:tc>
          <w:tcPr>
            <w:tcW w:w="1240" w:type="dxa"/>
            <w:tcBorders>
              <w:top w:val="nil"/>
              <w:left w:val="nil"/>
              <w:bottom w:val="nil"/>
              <w:right w:val="nil"/>
            </w:tcBorders>
            <w:shd w:val="clear" w:color="auto" w:fill="auto"/>
            <w:noWrap/>
            <w:vAlign w:val="bottom"/>
            <w:hideMark/>
          </w:tcPr>
          <w:p w14:paraId="3FA1AC7A"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9,300 </w:t>
            </w:r>
          </w:p>
        </w:tc>
        <w:tc>
          <w:tcPr>
            <w:tcW w:w="1240" w:type="dxa"/>
            <w:tcBorders>
              <w:top w:val="nil"/>
              <w:left w:val="nil"/>
              <w:bottom w:val="nil"/>
              <w:right w:val="nil"/>
            </w:tcBorders>
            <w:shd w:val="clear" w:color="auto" w:fill="auto"/>
            <w:noWrap/>
            <w:vAlign w:val="bottom"/>
            <w:hideMark/>
          </w:tcPr>
          <w:p w14:paraId="3862A3B4"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53,443 </w:t>
            </w:r>
          </w:p>
        </w:tc>
      </w:tr>
      <w:tr w:rsidR="00DA0F28" w:rsidRPr="00DA0F28" w14:paraId="2D3A01E1" w14:textId="77777777" w:rsidTr="00DA0F28">
        <w:trPr>
          <w:trHeight w:val="276"/>
        </w:trPr>
        <w:tc>
          <w:tcPr>
            <w:tcW w:w="1733" w:type="dxa"/>
            <w:tcBorders>
              <w:top w:val="nil"/>
              <w:left w:val="nil"/>
              <w:bottom w:val="nil"/>
              <w:right w:val="nil"/>
            </w:tcBorders>
            <w:shd w:val="clear" w:color="auto" w:fill="auto"/>
            <w:noWrap/>
            <w:vAlign w:val="bottom"/>
            <w:hideMark/>
          </w:tcPr>
          <w:p w14:paraId="17F89BFA" w14:textId="77777777" w:rsidR="00DA0F28" w:rsidRPr="00DA0F28" w:rsidRDefault="00DA0F28" w:rsidP="00DA0F28">
            <w:pPr>
              <w:spacing w:line="240" w:lineRule="auto"/>
              <w:rPr>
                <w:rFonts w:ascii="Calibri" w:hAnsi="Calibri" w:cs="Calibri"/>
                <w:color w:val="000000"/>
                <w:szCs w:val="20"/>
                <w:lang w:eastAsia="nl-NL"/>
              </w:rPr>
            </w:pPr>
            <w:proofErr w:type="spellStart"/>
            <w:r w:rsidRPr="00DA0F28">
              <w:rPr>
                <w:rFonts w:ascii="Calibri" w:hAnsi="Calibri" w:cs="Calibri"/>
                <w:color w:val="000000"/>
                <w:szCs w:val="20"/>
                <w:lang w:eastAsia="nl-NL"/>
              </w:rPr>
              <w:t>Unforeseen</w:t>
            </w:r>
            <w:proofErr w:type="spellEnd"/>
          </w:p>
        </w:tc>
        <w:tc>
          <w:tcPr>
            <w:tcW w:w="1347" w:type="dxa"/>
            <w:tcBorders>
              <w:top w:val="nil"/>
              <w:left w:val="nil"/>
              <w:bottom w:val="nil"/>
              <w:right w:val="nil"/>
            </w:tcBorders>
            <w:shd w:val="clear" w:color="auto" w:fill="auto"/>
            <w:noWrap/>
            <w:vAlign w:val="bottom"/>
            <w:hideMark/>
          </w:tcPr>
          <w:p w14:paraId="37848968"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4,647 </w:t>
            </w:r>
          </w:p>
        </w:tc>
        <w:tc>
          <w:tcPr>
            <w:tcW w:w="1240" w:type="dxa"/>
            <w:tcBorders>
              <w:top w:val="nil"/>
              <w:left w:val="nil"/>
              <w:bottom w:val="nil"/>
              <w:right w:val="nil"/>
            </w:tcBorders>
            <w:shd w:val="clear" w:color="auto" w:fill="auto"/>
            <w:noWrap/>
            <w:vAlign w:val="bottom"/>
            <w:hideMark/>
          </w:tcPr>
          <w:p w14:paraId="72982E79"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8,048 </w:t>
            </w:r>
          </w:p>
        </w:tc>
        <w:tc>
          <w:tcPr>
            <w:tcW w:w="1240" w:type="dxa"/>
            <w:tcBorders>
              <w:top w:val="nil"/>
              <w:left w:val="nil"/>
              <w:bottom w:val="nil"/>
              <w:right w:val="nil"/>
            </w:tcBorders>
            <w:shd w:val="clear" w:color="auto" w:fill="auto"/>
            <w:noWrap/>
            <w:vAlign w:val="bottom"/>
            <w:hideMark/>
          </w:tcPr>
          <w:p w14:paraId="533BD40A"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6,246 </w:t>
            </w:r>
          </w:p>
        </w:tc>
        <w:tc>
          <w:tcPr>
            <w:tcW w:w="1240" w:type="dxa"/>
            <w:tcBorders>
              <w:top w:val="nil"/>
              <w:left w:val="nil"/>
              <w:bottom w:val="nil"/>
              <w:right w:val="nil"/>
            </w:tcBorders>
            <w:shd w:val="clear" w:color="auto" w:fill="auto"/>
            <w:noWrap/>
            <w:vAlign w:val="bottom"/>
            <w:hideMark/>
          </w:tcPr>
          <w:p w14:paraId="394255AE"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8,162 </w:t>
            </w:r>
          </w:p>
        </w:tc>
        <w:tc>
          <w:tcPr>
            <w:tcW w:w="1240" w:type="dxa"/>
            <w:tcBorders>
              <w:top w:val="nil"/>
              <w:left w:val="nil"/>
              <w:bottom w:val="nil"/>
              <w:right w:val="nil"/>
            </w:tcBorders>
            <w:shd w:val="clear" w:color="auto" w:fill="auto"/>
            <w:noWrap/>
            <w:vAlign w:val="bottom"/>
            <w:hideMark/>
          </w:tcPr>
          <w:p w14:paraId="40DDCA14"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6,405 </w:t>
            </w:r>
          </w:p>
        </w:tc>
        <w:tc>
          <w:tcPr>
            <w:tcW w:w="1240" w:type="dxa"/>
            <w:tcBorders>
              <w:top w:val="nil"/>
              <w:left w:val="nil"/>
              <w:bottom w:val="nil"/>
              <w:right w:val="nil"/>
            </w:tcBorders>
            <w:shd w:val="clear" w:color="auto" w:fill="auto"/>
            <w:noWrap/>
            <w:vAlign w:val="bottom"/>
            <w:hideMark/>
          </w:tcPr>
          <w:p w14:paraId="179E4140" w14:textId="77777777" w:rsidR="00DA0F28" w:rsidRPr="00DA0F28" w:rsidRDefault="00DA0F28" w:rsidP="00DA0F28">
            <w:pPr>
              <w:spacing w:line="240" w:lineRule="auto"/>
              <w:rPr>
                <w:rFonts w:ascii="Calibri" w:hAnsi="Calibri" w:cs="Calibri"/>
                <w:color w:val="000000"/>
                <w:szCs w:val="20"/>
                <w:lang w:eastAsia="nl-NL"/>
              </w:rPr>
            </w:pPr>
            <w:r w:rsidRPr="00DA0F28">
              <w:rPr>
                <w:rFonts w:ascii="Calibri" w:hAnsi="Calibri" w:cs="Calibri"/>
                <w:color w:val="000000"/>
                <w:szCs w:val="20"/>
                <w:lang w:eastAsia="nl-NL"/>
              </w:rPr>
              <w:t xml:space="preserve">          33,509 </w:t>
            </w:r>
          </w:p>
        </w:tc>
      </w:tr>
      <w:tr w:rsidR="00DA0F28" w:rsidRPr="00DA0F28" w14:paraId="0DEA8F5E" w14:textId="77777777" w:rsidTr="00DA0F28">
        <w:trPr>
          <w:trHeight w:val="276"/>
        </w:trPr>
        <w:tc>
          <w:tcPr>
            <w:tcW w:w="1733" w:type="dxa"/>
            <w:tcBorders>
              <w:top w:val="single" w:sz="4" w:space="0" w:color="auto"/>
              <w:left w:val="nil"/>
              <w:bottom w:val="single" w:sz="4" w:space="0" w:color="auto"/>
              <w:right w:val="nil"/>
            </w:tcBorders>
            <w:shd w:val="clear" w:color="000000" w:fill="ACB9CA"/>
            <w:noWrap/>
            <w:vAlign w:val="bottom"/>
            <w:hideMark/>
          </w:tcPr>
          <w:p w14:paraId="2566CF1C"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Total</w:t>
            </w:r>
          </w:p>
        </w:tc>
        <w:tc>
          <w:tcPr>
            <w:tcW w:w="1347" w:type="dxa"/>
            <w:tcBorders>
              <w:top w:val="single" w:sz="4" w:space="0" w:color="auto"/>
              <w:left w:val="nil"/>
              <w:bottom w:val="single" w:sz="4" w:space="0" w:color="auto"/>
              <w:right w:val="nil"/>
            </w:tcBorders>
            <w:shd w:val="clear" w:color="000000" w:fill="ACB9CA"/>
            <w:noWrap/>
            <w:vAlign w:val="bottom"/>
            <w:hideMark/>
          </w:tcPr>
          <w:p w14:paraId="74242BC0"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159,563 </w:t>
            </w:r>
          </w:p>
        </w:tc>
        <w:tc>
          <w:tcPr>
            <w:tcW w:w="1240" w:type="dxa"/>
            <w:tcBorders>
              <w:top w:val="single" w:sz="4" w:space="0" w:color="auto"/>
              <w:left w:val="nil"/>
              <w:bottom w:val="single" w:sz="4" w:space="0" w:color="auto"/>
              <w:right w:val="nil"/>
            </w:tcBorders>
            <w:shd w:val="clear" w:color="000000" w:fill="ACB9CA"/>
            <w:noWrap/>
            <w:vAlign w:val="bottom"/>
            <w:hideMark/>
          </w:tcPr>
          <w:p w14:paraId="2AAF6900"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209,244 </w:t>
            </w:r>
          </w:p>
        </w:tc>
        <w:tc>
          <w:tcPr>
            <w:tcW w:w="1240" w:type="dxa"/>
            <w:tcBorders>
              <w:top w:val="single" w:sz="4" w:space="0" w:color="auto"/>
              <w:left w:val="nil"/>
              <w:bottom w:val="single" w:sz="4" w:space="0" w:color="auto"/>
              <w:right w:val="nil"/>
            </w:tcBorders>
            <w:shd w:val="clear" w:color="000000" w:fill="ACB9CA"/>
            <w:noWrap/>
            <w:vAlign w:val="bottom"/>
            <w:hideMark/>
          </w:tcPr>
          <w:p w14:paraId="265BEF68"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162,391 </w:t>
            </w:r>
          </w:p>
        </w:tc>
        <w:tc>
          <w:tcPr>
            <w:tcW w:w="1240" w:type="dxa"/>
            <w:tcBorders>
              <w:top w:val="single" w:sz="4" w:space="0" w:color="auto"/>
              <w:left w:val="nil"/>
              <w:bottom w:val="single" w:sz="4" w:space="0" w:color="auto"/>
              <w:right w:val="nil"/>
            </w:tcBorders>
            <w:shd w:val="clear" w:color="000000" w:fill="ACB9CA"/>
            <w:noWrap/>
            <w:vAlign w:val="bottom"/>
            <w:hideMark/>
          </w:tcPr>
          <w:p w14:paraId="2FFC2A6B"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212,222 </w:t>
            </w:r>
          </w:p>
        </w:tc>
        <w:tc>
          <w:tcPr>
            <w:tcW w:w="1240" w:type="dxa"/>
            <w:tcBorders>
              <w:top w:val="single" w:sz="4" w:space="0" w:color="auto"/>
              <w:left w:val="nil"/>
              <w:bottom w:val="single" w:sz="4" w:space="0" w:color="auto"/>
              <w:right w:val="nil"/>
            </w:tcBorders>
            <w:shd w:val="clear" w:color="000000" w:fill="ACB9CA"/>
            <w:noWrap/>
            <w:vAlign w:val="bottom"/>
            <w:hideMark/>
          </w:tcPr>
          <w:p w14:paraId="77F42934"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166,540 </w:t>
            </w:r>
          </w:p>
        </w:tc>
        <w:tc>
          <w:tcPr>
            <w:tcW w:w="1240" w:type="dxa"/>
            <w:tcBorders>
              <w:top w:val="single" w:sz="4" w:space="0" w:color="auto"/>
              <w:left w:val="nil"/>
              <w:bottom w:val="single" w:sz="4" w:space="0" w:color="auto"/>
              <w:right w:val="nil"/>
            </w:tcBorders>
            <w:shd w:val="clear" w:color="000000" w:fill="ACB9CA"/>
            <w:noWrap/>
            <w:vAlign w:val="bottom"/>
            <w:hideMark/>
          </w:tcPr>
          <w:p w14:paraId="6CDDA407" w14:textId="77777777" w:rsidR="00DA0F28" w:rsidRPr="00DA0F28" w:rsidRDefault="00DA0F28" w:rsidP="00DA0F28">
            <w:pPr>
              <w:spacing w:line="240" w:lineRule="auto"/>
              <w:rPr>
                <w:rFonts w:ascii="Calibri" w:hAnsi="Calibri" w:cs="Calibri"/>
                <w:b/>
                <w:bCs/>
                <w:color w:val="000000"/>
                <w:szCs w:val="20"/>
                <w:lang w:eastAsia="nl-NL"/>
              </w:rPr>
            </w:pPr>
            <w:r w:rsidRPr="00DA0F28">
              <w:rPr>
                <w:rFonts w:ascii="Calibri" w:hAnsi="Calibri" w:cs="Calibri"/>
                <w:b/>
                <w:bCs/>
                <w:color w:val="000000"/>
                <w:szCs w:val="20"/>
                <w:lang w:eastAsia="nl-NL"/>
              </w:rPr>
              <w:t xml:space="preserve">        909,961 </w:t>
            </w:r>
          </w:p>
        </w:tc>
      </w:tr>
    </w:tbl>
    <w:p w14:paraId="7A8AAF22" w14:textId="77777777" w:rsidR="00AE5BC8" w:rsidRDefault="00AE5BC8" w:rsidP="00AF2576">
      <w:pPr>
        <w:pStyle w:val="Kop1"/>
      </w:pPr>
    </w:p>
    <w:p w14:paraId="356DAF14" w14:textId="77777777" w:rsidR="00F6756E" w:rsidRDefault="00F6756E" w:rsidP="00AF2576">
      <w:pPr>
        <w:pStyle w:val="Kop1"/>
      </w:pPr>
      <w:r>
        <w:t>landscape assessments</w:t>
      </w:r>
    </w:p>
    <w:p w14:paraId="4BE25254" w14:textId="77777777" w:rsidR="00F6756E" w:rsidRDefault="00F6756E" w:rsidP="003F183D">
      <w:pPr>
        <w:pStyle w:val="Kop2"/>
      </w:pPr>
      <w:r>
        <w:t>Landscape description</w:t>
      </w:r>
    </w:p>
    <w:p w14:paraId="447D45F8" w14:textId="77777777" w:rsidR="00B6577C" w:rsidRPr="003F183D" w:rsidRDefault="00B6577C" w:rsidP="003F183D">
      <w:pPr>
        <w:jc w:val="both"/>
        <w:rPr>
          <w:rFonts w:cs="Calibri"/>
          <w:lang w:val="en-GB"/>
        </w:rPr>
      </w:pPr>
      <w:r w:rsidRPr="003F183D">
        <w:rPr>
          <w:rFonts w:cs="Calibri"/>
          <w:lang w:val="en-GB"/>
        </w:rPr>
        <w:t xml:space="preserve">Four political administrative districts constitute this landscape. These are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Wiawso</w:t>
      </w:r>
      <w:proofErr w:type="spellEnd"/>
      <w:r w:rsidRPr="003F183D">
        <w:rPr>
          <w:rFonts w:cs="Calibri"/>
          <w:lang w:val="en-GB"/>
        </w:rPr>
        <w:t xml:space="preserve"> Municipal, </w:t>
      </w:r>
      <w:proofErr w:type="spellStart"/>
      <w:r w:rsidRPr="003F183D">
        <w:rPr>
          <w:rFonts w:cs="Calibri"/>
          <w:lang w:val="en-GB"/>
        </w:rPr>
        <w:t>Juabeso</w:t>
      </w:r>
      <w:proofErr w:type="spellEnd"/>
      <w:r w:rsidRPr="003F183D">
        <w:rPr>
          <w:rFonts w:cs="Calibri"/>
          <w:lang w:val="en-GB"/>
        </w:rPr>
        <w:t>, Bia West and East districts. Ethnically, the cultural practice of the people in this landscape does not departure from the rest of the Akan speaking communities in the country. There is one Traditional Council for the landscape with a membership of 65 chiefs headed by the Paramount Chief of the Area (</w:t>
      </w:r>
      <w:proofErr w:type="spellStart"/>
      <w:r w:rsidRPr="003F183D">
        <w:rPr>
          <w:rFonts w:cs="Calibri"/>
          <w:lang w:val="en-GB"/>
        </w:rPr>
        <w:t>Omanhene</w:t>
      </w:r>
      <w:proofErr w:type="spellEnd"/>
      <w:r w:rsidRPr="003F183D">
        <w:rPr>
          <w:rFonts w:cs="Calibri"/>
          <w:lang w:val="en-GB"/>
        </w:rPr>
        <w:t>) with the title “</w:t>
      </w:r>
      <w:proofErr w:type="spellStart"/>
      <w:r w:rsidRPr="003F183D">
        <w:rPr>
          <w:rFonts w:cs="Calibri"/>
          <w:lang w:val="en-GB"/>
        </w:rPr>
        <w:t>Okogyeabour</w:t>
      </w:r>
      <w:proofErr w:type="spellEnd"/>
      <w:r w:rsidRPr="003F183D">
        <w:rPr>
          <w:rFonts w:cs="Calibri"/>
          <w:lang w:val="en-GB"/>
        </w:rPr>
        <w:t xml:space="preserve">”. The Traditional Area covers the whole of the political districts of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Akontombra</w:t>
      </w:r>
      <w:proofErr w:type="spellEnd"/>
      <w:r w:rsidRPr="003F183D">
        <w:rPr>
          <w:rFonts w:cs="Calibri"/>
          <w:lang w:val="en-GB"/>
        </w:rPr>
        <w:t xml:space="preserve">, </w:t>
      </w:r>
      <w:proofErr w:type="spellStart"/>
      <w:r w:rsidRPr="003F183D">
        <w:rPr>
          <w:rFonts w:cs="Calibri"/>
          <w:lang w:val="en-GB"/>
        </w:rPr>
        <w:t>Juabeso</w:t>
      </w:r>
      <w:proofErr w:type="spellEnd"/>
      <w:r w:rsidRPr="003F183D">
        <w:rPr>
          <w:rFonts w:cs="Calibri"/>
          <w:lang w:val="en-GB"/>
        </w:rPr>
        <w:t xml:space="preserve"> and Bia West, Bia East and </w:t>
      </w:r>
      <w:proofErr w:type="spellStart"/>
      <w:r w:rsidRPr="003F183D">
        <w:rPr>
          <w:rFonts w:cs="Calibri"/>
          <w:lang w:val="en-GB"/>
        </w:rPr>
        <w:t>Bodi</w:t>
      </w:r>
      <w:proofErr w:type="spellEnd"/>
      <w:r w:rsidRPr="003F183D">
        <w:rPr>
          <w:rFonts w:cs="Calibri"/>
          <w:lang w:val="en-GB"/>
        </w:rPr>
        <w:t>.</w:t>
      </w:r>
    </w:p>
    <w:p w14:paraId="14F212B0" w14:textId="77777777" w:rsidR="00B6577C" w:rsidRPr="00B6577C" w:rsidRDefault="00B6577C" w:rsidP="00B6577C">
      <w:pPr>
        <w:rPr>
          <w:color w:val="333333"/>
          <w:szCs w:val="20"/>
          <w:shd w:val="clear" w:color="auto" w:fill="FFFFFF"/>
          <w:lang w:val="en-US"/>
        </w:rPr>
      </w:pPr>
      <w:r w:rsidRPr="00B6577C">
        <w:rPr>
          <w:color w:val="333333"/>
          <w:szCs w:val="20"/>
          <w:shd w:val="clear" w:color="auto" w:fill="FFFFFF"/>
          <w:lang w:val="en-US"/>
        </w:rPr>
        <w:t>The below table present the population, land-size and forest reserves in the landscape.</w:t>
      </w:r>
    </w:p>
    <w:p w14:paraId="25C3AA61" w14:textId="77777777" w:rsidR="00B6577C" w:rsidRDefault="00B6577C" w:rsidP="00B6577C">
      <w:pPr>
        <w:rPr>
          <w:color w:val="333333"/>
          <w:szCs w:val="20"/>
          <w:shd w:val="clear" w:color="auto" w:fill="FFFFFF"/>
          <w:lang w:val="en-US"/>
        </w:rPr>
      </w:pPr>
    </w:p>
    <w:p w14:paraId="5E6C06CE" w14:textId="280311CF" w:rsidR="00B6577C" w:rsidRPr="00B6577C" w:rsidRDefault="00B6577C" w:rsidP="00B6577C">
      <w:pPr>
        <w:pStyle w:val="Bijschrift"/>
        <w:rPr>
          <w:sz w:val="20"/>
          <w:szCs w:val="20"/>
          <w:lang w:val="en-US"/>
        </w:rPr>
      </w:pPr>
      <w:r>
        <w:t xml:space="preserve">Table </w:t>
      </w:r>
      <w:r>
        <w:fldChar w:fldCharType="begin"/>
      </w:r>
      <w:r>
        <w:instrText xml:space="preserve"> SEQ Table \* ARABIC </w:instrText>
      </w:r>
      <w:r>
        <w:fldChar w:fldCharType="separate"/>
      </w:r>
      <w:r w:rsidR="00D12D4D">
        <w:rPr>
          <w:noProof/>
        </w:rPr>
        <w:t>3</w:t>
      </w:r>
      <w:r>
        <w:fldChar w:fldCharType="end"/>
      </w:r>
      <w:r>
        <w:t>:</w:t>
      </w:r>
      <w:r w:rsidRPr="00B6577C">
        <w:rPr>
          <w:color w:val="333333"/>
          <w:sz w:val="20"/>
          <w:szCs w:val="20"/>
          <w:shd w:val="clear" w:color="auto" w:fill="FFFFFF"/>
          <w:lang w:val="en-US"/>
        </w:rPr>
        <w:t xml:space="preserve"> Population and Housing Census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36"/>
        <w:gridCol w:w="1620"/>
        <w:gridCol w:w="1440"/>
        <w:gridCol w:w="1329"/>
        <w:gridCol w:w="1283"/>
      </w:tblGrid>
      <w:tr w:rsidR="00B6577C" w:rsidRPr="00B6577C" w14:paraId="4824567B" w14:textId="77777777" w:rsidTr="005E0688">
        <w:tc>
          <w:tcPr>
            <w:tcW w:w="1689" w:type="dxa"/>
            <w:shd w:val="clear" w:color="auto" w:fill="auto"/>
          </w:tcPr>
          <w:p w14:paraId="714DF62F" w14:textId="77777777" w:rsidR="00B6577C" w:rsidRPr="00B6577C" w:rsidRDefault="00B6577C" w:rsidP="00B6577C">
            <w:pPr>
              <w:rPr>
                <w:b/>
                <w:bCs/>
                <w:szCs w:val="20"/>
                <w:lang w:val="en-GB"/>
              </w:rPr>
            </w:pPr>
            <w:r w:rsidRPr="00B6577C">
              <w:rPr>
                <w:b/>
                <w:bCs/>
                <w:szCs w:val="20"/>
                <w:lang w:val="en-GB"/>
              </w:rPr>
              <w:t>District</w:t>
            </w:r>
          </w:p>
        </w:tc>
        <w:tc>
          <w:tcPr>
            <w:tcW w:w="1636" w:type="dxa"/>
            <w:shd w:val="clear" w:color="auto" w:fill="auto"/>
          </w:tcPr>
          <w:p w14:paraId="56EA51BF" w14:textId="77777777" w:rsidR="00B6577C" w:rsidRPr="00B6577C" w:rsidRDefault="00B6577C" w:rsidP="00B6577C">
            <w:pPr>
              <w:rPr>
                <w:b/>
                <w:bCs/>
                <w:szCs w:val="20"/>
                <w:lang w:val="en-GB"/>
              </w:rPr>
            </w:pPr>
            <w:proofErr w:type="spellStart"/>
            <w:r w:rsidRPr="00B6577C">
              <w:rPr>
                <w:b/>
                <w:bCs/>
                <w:szCs w:val="20"/>
                <w:lang w:val="en-GB"/>
              </w:rPr>
              <w:t>Juabeso</w:t>
            </w:r>
            <w:proofErr w:type="spellEnd"/>
          </w:p>
        </w:tc>
        <w:tc>
          <w:tcPr>
            <w:tcW w:w="1620" w:type="dxa"/>
            <w:shd w:val="clear" w:color="auto" w:fill="auto"/>
          </w:tcPr>
          <w:p w14:paraId="764F0325" w14:textId="77777777" w:rsidR="00B6577C" w:rsidRPr="00B6577C" w:rsidRDefault="00B6577C" w:rsidP="00B6577C">
            <w:pPr>
              <w:rPr>
                <w:b/>
                <w:bCs/>
                <w:szCs w:val="20"/>
                <w:lang w:val="en-GB"/>
              </w:rPr>
            </w:pPr>
            <w:proofErr w:type="spellStart"/>
            <w:r w:rsidRPr="00B6577C">
              <w:rPr>
                <w:b/>
                <w:bCs/>
                <w:szCs w:val="20"/>
                <w:lang w:val="en-GB"/>
              </w:rPr>
              <w:t>Sefwi</w:t>
            </w:r>
            <w:proofErr w:type="spellEnd"/>
            <w:r w:rsidRPr="00B6577C">
              <w:rPr>
                <w:b/>
                <w:bCs/>
                <w:szCs w:val="20"/>
                <w:lang w:val="en-GB"/>
              </w:rPr>
              <w:t xml:space="preserve"> </w:t>
            </w:r>
            <w:proofErr w:type="spellStart"/>
            <w:r w:rsidRPr="00B6577C">
              <w:rPr>
                <w:b/>
                <w:bCs/>
                <w:szCs w:val="20"/>
                <w:lang w:val="en-GB"/>
              </w:rPr>
              <w:t>Wiawso</w:t>
            </w:r>
            <w:proofErr w:type="spellEnd"/>
          </w:p>
        </w:tc>
        <w:tc>
          <w:tcPr>
            <w:tcW w:w="1440" w:type="dxa"/>
            <w:shd w:val="clear" w:color="auto" w:fill="auto"/>
          </w:tcPr>
          <w:p w14:paraId="50389ED2" w14:textId="77777777" w:rsidR="00B6577C" w:rsidRPr="00B6577C" w:rsidRDefault="00B6577C" w:rsidP="00B6577C">
            <w:pPr>
              <w:rPr>
                <w:b/>
                <w:bCs/>
                <w:szCs w:val="20"/>
                <w:lang w:val="en-GB"/>
              </w:rPr>
            </w:pPr>
            <w:r w:rsidRPr="00B6577C">
              <w:rPr>
                <w:b/>
                <w:bCs/>
                <w:szCs w:val="20"/>
                <w:lang w:val="en-GB"/>
              </w:rPr>
              <w:t>Bia West</w:t>
            </w:r>
          </w:p>
        </w:tc>
        <w:tc>
          <w:tcPr>
            <w:tcW w:w="1329" w:type="dxa"/>
            <w:shd w:val="clear" w:color="auto" w:fill="auto"/>
          </w:tcPr>
          <w:p w14:paraId="2731CC36" w14:textId="77777777" w:rsidR="00B6577C" w:rsidRPr="00B6577C" w:rsidRDefault="00B6577C" w:rsidP="00B6577C">
            <w:pPr>
              <w:rPr>
                <w:b/>
                <w:bCs/>
                <w:szCs w:val="20"/>
                <w:lang w:val="en-GB"/>
              </w:rPr>
            </w:pPr>
            <w:r w:rsidRPr="00B6577C">
              <w:rPr>
                <w:b/>
                <w:bCs/>
                <w:szCs w:val="20"/>
                <w:lang w:val="en-GB"/>
              </w:rPr>
              <w:t>Bia East</w:t>
            </w:r>
          </w:p>
        </w:tc>
        <w:tc>
          <w:tcPr>
            <w:tcW w:w="1283" w:type="dxa"/>
            <w:shd w:val="clear" w:color="auto" w:fill="auto"/>
          </w:tcPr>
          <w:p w14:paraId="3C73F900" w14:textId="77777777" w:rsidR="00B6577C" w:rsidRPr="00B6577C" w:rsidRDefault="00B6577C" w:rsidP="00B6577C">
            <w:pPr>
              <w:rPr>
                <w:b/>
                <w:bCs/>
                <w:szCs w:val="20"/>
                <w:lang w:val="en-GB"/>
              </w:rPr>
            </w:pPr>
            <w:r w:rsidRPr="00B6577C">
              <w:rPr>
                <w:b/>
                <w:bCs/>
                <w:szCs w:val="20"/>
                <w:lang w:val="en-GB"/>
              </w:rPr>
              <w:t>Combined</w:t>
            </w:r>
          </w:p>
        </w:tc>
      </w:tr>
      <w:tr w:rsidR="00B6577C" w:rsidRPr="00B6577C" w14:paraId="2A444E17" w14:textId="77777777" w:rsidTr="005E0688">
        <w:tc>
          <w:tcPr>
            <w:tcW w:w="1689" w:type="dxa"/>
            <w:shd w:val="clear" w:color="auto" w:fill="auto"/>
          </w:tcPr>
          <w:p w14:paraId="35169296" w14:textId="77777777" w:rsidR="00B6577C" w:rsidRPr="00B6577C" w:rsidRDefault="00B6577C" w:rsidP="00B6577C">
            <w:pPr>
              <w:rPr>
                <w:b/>
                <w:bCs/>
                <w:szCs w:val="20"/>
                <w:lang w:val="en-GB"/>
              </w:rPr>
            </w:pPr>
            <w:r w:rsidRPr="00B6577C">
              <w:rPr>
                <w:b/>
                <w:bCs/>
                <w:szCs w:val="20"/>
                <w:lang w:val="en-GB"/>
              </w:rPr>
              <w:t>Population</w:t>
            </w:r>
          </w:p>
        </w:tc>
        <w:tc>
          <w:tcPr>
            <w:tcW w:w="1636" w:type="dxa"/>
            <w:shd w:val="clear" w:color="auto" w:fill="auto"/>
          </w:tcPr>
          <w:p w14:paraId="3E025F88" w14:textId="77777777" w:rsidR="00B6577C" w:rsidRPr="00B6577C" w:rsidRDefault="00B6577C" w:rsidP="00B6577C">
            <w:pPr>
              <w:rPr>
                <w:szCs w:val="20"/>
                <w:lang w:val="en-GB"/>
              </w:rPr>
            </w:pPr>
            <w:r w:rsidRPr="00B6577C">
              <w:rPr>
                <w:szCs w:val="20"/>
                <w:lang w:val="en-GB"/>
              </w:rPr>
              <w:t>58,435</w:t>
            </w:r>
          </w:p>
        </w:tc>
        <w:tc>
          <w:tcPr>
            <w:tcW w:w="1620" w:type="dxa"/>
            <w:shd w:val="clear" w:color="auto" w:fill="auto"/>
          </w:tcPr>
          <w:p w14:paraId="7C17B27A" w14:textId="77777777" w:rsidR="00B6577C" w:rsidRPr="00B6577C" w:rsidRDefault="00B6577C" w:rsidP="00B6577C">
            <w:pPr>
              <w:rPr>
                <w:szCs w:val="20"/>
                <w:lang w:val="en-GB"/>
              </w:rPr>
            </w:pPr>
            <w:r w:rsidRPr="00B6577C">
              <w:rPr>
                <w:szCs w:val="20"/>
                <w:lang w:val="en-GB"/>
              </w:rPr>
              <w:t>139, 200</w:t>
            </w:r>
          </w:p>
        </w:tc>
        <w:tc>
          <w:tcPr>
            <w:tcW w:w="1440" w:type="dxa"/>
            <w:shd w:val="clear" w:color="auto" w:fill="auto"/>
          </w:tcPr>
          <w:p w14:paraId="3426FCDD" w14:textId="77777777" w:rsidR="00B6577C" w:rsidRPr="00B6577C" w:rsidRDefault="00B6577C" w:rsidP="00B6577C">
            <w:pPr>
              <w:rPr>
                <w:szCs w:val="20"/>
                <w:lang w:val="en-GB"/>
              </w:rPr>
            </w:pPr>
            <w:r w:rsidRPr="00B6577C">
              <w:rPr>
                <w:szCs w:val="20"/>
                <w:lang w:val="en-GB"/>
              </w:rPr>
              <w:t>88,939</w:t>
            </w:r>
          </w:p>
        </w:tc>
        <w:tc>
          <w:tcPr>
            <w:tcW w:w="1329" w:type="dxa"/>
            <w:shd w:val="clear" w:color="auto" w:fill="auto"/>
          </w:tcPr>
          <w:p w14:paraId="56BF7E94" w14:textId="77777777" w:rsidR="00B6577C" w:rsidRPr="00B6577C" w:rsidRDefault="00B6577C" w:rsidP="00B6577C">
            <w:pPr>
              <w:rPr>
                <w:szCs w:val="20"/>
                <w:lang w:val="en-GB"/>
              </w:rPr>
            </w:pPr>
            <w:r w:rsidRPr="00B6577C">
              <w:rPr>
                <w:szCs w:val="20"/>
                <w:lang w:val="en-GB"/>
              </w:rPr>
              <w:t>27,393</w:t>
            </w:r>
          </w:p>
        </w:tc>
        <w:tc>
          <w:tcPr>
            <w:tcW w:w="1283" w:type="dxa"/>
            <w:shd w:val="clear" w:color="auto" w:fill="auto"/>
          </w:tcPr>
          <w:p w14:paraId="0B67DADF" w14:textId="77777777" w:rsidR="00B6577C" w:rsidRPr="00B6577C" w:rsidRDefault="00B6577C" w:rsidP="00B6577C">
            <w:pPr>
              <w:rPr>
                <w:szCs w:val="20"/>
                <w:lang w:val="en-GB"/>
              </w:rPr>
            </w:pPr>
            <w:r w:rsidRPr="00B6577C">
              <w:rPr>
                <w:szCs w:val="20"/>
                <w:lang w:val="en-GB"/>
              </w:rPr>
              <w:t>313,967</w:t>
            </w:r>
          </w:p>
        </w:tc>
      </w:tr>
      <w:tr w:rsidR="00B6577C" w:rsidRPr="00B6577C" w14:paraId="47EBBD1F" w14:textId="77777777" w:rsidTr="005E0688">
        <w:tc>
          <w:tcPr>
            <w:tcW w:w="1689" w:type="dxa"/>
            <w:shd w:val="clear" w:color="auto" w:fill="auto"/>
          </w:tcPr>
          <w:p w14:paraId="1974A139" w14:textId="77777777" w:rsidR="00B6577C" w:rsidRPr="00B6577C" w:rsidRDefault="00B6577C" w:rsidP="00B6577C">
            <w:pPr>
              <w:rPr>
                <w:b/>
                <w:bCs/>
                <w:szCs w:val="20"/>
                <w:lang w:val="en-GB"/>
              </w:rPr>
            </w:pPr>
            <w:r w:rsidRPr="00B6577C">
              <w:rPr>
                <w:b/>
                <w:bCs/>
                <w:szCs w:val="20"/>
                <w:lang w:val="en-GB"/>
              </w:rPr>
              <w:t>Urban (%)</w:t>
            </w:r>
          </w:p>
        </w:tc>
        <w:tc>
          <w:tcPr>
            <w:tcW w:w="1636" w:type="dxa"/>
            <w:shd w:val="clear" w:color="auto" w:fill="auto"/>
          </w:tcPr>
          <w:p w14:paraId="2A59CB85" w14:textId="77777777" w:rsidR="00B6577C" w:rsidRPr="00B6577C" w:rsidRDefault="00B6577C" w:rsidP="00B6577C">
            <w:pPr>
              <w:rPr>
                <w:szCs w:val="20"/>
                <w:lang w:val="en-GB"/>
              </w:rPr>
            </w:pPr>
            <w:r w:rsidRPr="00B6577C">
              <w:rPr>
                <w:szCs w:val="20"/>
                <w:lang w:val="en-GB"/>
              </w:rPr>
              <w:t>90.7</w:t>
            </w:r>
          </w:p>
        </w:tc>
        <w:tc>
          <w:tcPr>
            <w:tcW w:w="1620" w:type="dxa"/>
            <w:shd w:val="clear" w:color="auto" w:fill="auto"/>
          </w:tcPr>
          <w:p w14:paraId="51E16F8D" w14:textId="77777777" w:rsidR="00B6577C" w:rsidRPr="00B6577C" w:rsidRDefault="00B6577C" w:rsidP="00B6577C">
            <w:pPr>
              <w:rPr>
                <w:szCs w:val="20"/>
                <w:lang w:val="en-GB"/>
              </w:rPr>
            </w:pPr>
            <w:r w:rsidRPr="00B6577C">
              <w:rPr>
                <w:szCs w:val="20"/>
                <w:lang w:val="en-GB"/>
              </w:rPr>
              <w:t>35.8</w:t>
            </w:r>
          </w:p>
        </w:tc>
        <w:tc>
          <w:tcPr>
            <w:tcW w:w="1440" w:type="dxa"/>
            <w:shd w:val="clear" w:color="auto" w:fill="auto"/>
          </w:tcPr>
          <w:p w14:paraId="508163F1" w14:textId="77777777" w:rsidR="00B6577C" w:rsidRPr="00B6577C" w:rsidRDefault="00B6577C" w:rsidP="00B6577C">
            <w:pPr>
              <w:rPr>
                <w:szCs w:val="20"/>
                <w:lang w:val="en-GB"/>
              </w:rPr>
            </w:pPr>
            <w:r w:rsidRPr="00B6577C">
              <w:rPr>
                <w:szCs w:val="20"/>
                <w:lang w:val="en-GB"/>
              </w:rPr>
              <w:t>74.4</w:t>
            </w:r>
          </w:p>
        </w:tc>
        <w:tc>
          <w:tcPr>
            <w:tcW w:w="1329" w:type="dxa"/>
            <w:shd w:val="clear" w:color="auto" w:fill="auto"/>
          </w:tcPr>
          <w:p w14:paraId="0EE3E7B9" w14:textId="77777777" w:rsidR="00B6577C" w:rsidRPr="00B6577C" w:rsidRDefault="00B6577C" w:rsidP="00B6577C">
            <w:pPr>
              <w:rPr>
                <w:szCs w:val="20"/>
                <w:lang w:val="en-GB"/>
              </w:rPr>
            </w:pPr>
            <w:r w:rsidRPr="00B6577C">
              <w:rPr>
                <w:szCs w:val="20"/>
                <w:lang w:val="en-GB"/>
              </w:rPr>
              <w:t>-</w:t>
            </w:r>
          </w:p>
        </w:tc>
        <w:tc>
          <w:tcPr>
            <w:tcW w:w="1283" w:type="dxa"/>
            <w:shd w:val="clear" w:color="auto" w:fill="auto"/>
          </w:tcPr>
          <w:p w14:paraId="583D6F82" w14:textId="77777777" w:rsidR="00B6577C" w:rsidRPr="00B6577C" w:rsidRDefault="00B6577C" w:rsidP="00B6577C">
            <w:pPr>
              <w:rPr>
                <w:szCs w:val="20"/>
                <w:lang w:val="en-GB"/>
              </w:rPr>
            </w:pPr>
            <w:r w:rsidRPr="00B6577C">
              <w:rPr>
                <w:szCs w:val="20"/>
                <w:lang w:val="en-GB"/>
              </w:rPr>
              <w:t>-</w:t>
            </w:r>
          </w:p>
        </w:tc>
      </w:tr>
      <w:tr w:rsidR="00B6577C" w:rsidRPr="00B6577C" w14:paraId="1ED70532" w14:textId="77777777" w:rsidTr="005E0688">
        <w:tc>
          <w:tcPr>
            <w:tcW w:w="1689" w:type="dxa"/>
            <w:shd w:val="clear" w:color="auto" w:fill="auto"/>
          </w:tcPr>
          <w:p w14:paraId="39C32182" w14:textId="77777777" w:rsidR="00B6577C" w:rsidRPr="00B6577C" w:rsidRDefault="00B6577C" w:rsidP="00B6577C">
            <w:pPr>
              <w:rPr>
                <w:b/>
                <w:bCs/>
                <w:szCs w:val="20"/>
                <w:lang w:val="en-GB"/>
              </w:rPr>
            </w:pPr>
            <w:r w:rsidRPr="00B6577C">
              <w:rPr>
                <w:b/>
                <w:bCs/>
                <w:szCs w:val="20"/>
                <w:lang w:val="en-GB"/>
              </w:rPr>
              <w:t>Rural (%)</w:t>
            </w:r>
          </w:p>
        </w:tc>
        <w:tc>
          <w:tcPr>
            <w:tcW w:w="1636" w:type="dxa"/>
            <w:shd w:val="clear" w:color="auto" w:fill="auto"/>
          </w:tcPr>
          <w:p w14:paraId="0DE94A80" w14:textId="77777777" w:rsidR="00B6577C" w:rsidRPr="00B6577C" w:rsidRDefault="00B6577C" w:rsidP="00B6577C">
            <w:pPr>
              <w:rPr>
                <w:szCs w:val="20"/>
                <w:lang w:val="en-GB"/>
              </w:rPr>
            </w:pPr>
            <w:r w:rsidRPr="00B6577C">
              <w:rPr>
                <w:szCs w:val="20"/>
                <w:lang w:val="en-GB"/>
              </w:rPr>
              <w:t>9.3</w:t>
            </w:r>
          </w:p>
        </w:tc>
        <w:tc>
          <w:tcPr>
            <w:tcW w:w="1620" w:type="dxa"/>
            <w:shd w:val="clear" w:color="auto" w:fill="auto"/>
          </w:tcPr>
          <w:p w14:paraId="49DBD4E9" w14:textId="77777777" w:rsidR="00B6577C" w:rsidRPr="00B6577C" w:rsidRDefault="00B6577C" w:rsidP="00B6577C">
            <w:pPr>
              <w:rPr>
                <w:szCs w:val="20"/>
                <w:lang w:val="en-GB"/>
              </w:rPr>
            </w:pPr>
            <w:r w:rsidRPr="00B6577C">
              <w:rPr>
                <w:szCs w:val="20"/>
                <w:lang w:val="en-GB"/>
              </w:rPr>
              <w:t>64.2</w:t>
            </w:r>
          </w:p>
        </w:tc>
        <w:tc>
          <w:tcPr>
            <w:tcW w:w="1440" w:type="dxa"/>
            <w:shd w:val="clear" w:color="auto" w:fill="auto"/>
          </w:tcPr>
          <w:p w14:paraId="1183C245" w14:textId="77777777" w:rsidR="00B6577C" w:rsidRPr="00B6577C" w:rsidRDefault="00B6577C" w:rsidP="00B6577C">
            <w:pPr>
              <w:rPr>
                <w:szCs w:val="20"/>
                <w:lang w:val="en-GB"/>
              </w:rPr>
            </w:pPr>
            <w:r w:rsidRPr="00B6577C">
              <w:rPr>
                <w:szCs w:val="20"/>
                <w:lang w:val="en-GB"/>
              </w:rPr>
              <w:t>26.6</w:t>
            </w:r>
          </w:p>
        </w:tc>
        <w:tc>
          <w:tcPr>
            <w:tcW w:w="1329" w:type="dxa"/>
            <w:shd w:val="clear" w:color="auto" w:fill="auto"/>
          </w:tcPr>
          <w:p w14:paraId="06C07975" w14:textId="77777777" w:rsidR="00B6577C" w:rsidRPr="00B6577C" w:rsidRDefault="00B6577C" w:rsidP="00B6577C">
            <w:pPr>
              <w:rPr>
                <w:szCs w:val="20"/>
                <w:lang w:val="en-GB"/>
              </w:rPr>
            </w:pPr>
            <w:r w:rsidRPr="00B6577C">
              <w:rPr>
                <w:szCs w:val="20"/>
                <w:lang w:val="en-GB"/>
              </w:rPr>
              <w:t>100</w:t>
            </w:r>
          </w:p>
        </w:tc>
        <w:tc>
          <w:tcPr>
            <w:tcW w:w="1283" w:type="dxa"/>
            <w:shd w:val="clear" w:color="auto" w:fill="auto"/>
          </w:tcPr>
          <w:p w14:paraId="21002D4F" w14:textId="77777777" w:rsidR="00B6577C" w:rsidRPr="00B6577C" w:rsidRDefault="00B6577C" w:rsidP="00B6577C">
            <w:pPr>
              <w:rPr>
                <w:szCs w:val="20"/>
                <w:lang w:val="en-GB"/>
              </w:rPr>
            </w:pPr>
            <w:r w:rsidRPr="00B6577C">
              <w:rPr>
                <w:szCs w:val="20"/>
                <w:lang w:val="en-GB"/>
              </w:rPr>
              <w:t>-</w:t>
            </w:r>
          </w:p>
        </w:tc>
      </w:tr>
      <w:tr w:rsidR="00B6577C" w:rsidRPr="00B6577C" w14:paraId="1AF85E44" w14:textId="77777777" w:rsidTr="005E0688">
        <w:tc>
          <w:tcPr>
            <w:tcW w:w="1689" w:type="dxa"/>
            <w:shd w:val="clear" w:color="auto" w:fill="auto"/>
          </w:tcPr>
          <w:p w14:paraId="39EF0C4E" w14:textId="77777777" w:rsidR="00B6577C" w:rsidRPr="00B6577C" w:rsidRDefault="00B6577C" w:rsidP="00B6577C">
            <w:pPr>
              <w:rPr>
                <w:b/>
                <w:bCs/>
                <w:szCs w:val="20"/>
                <w:lang w:val="en-GB"/>
              </w:rPr>
            </w:pPr>
            <w:r w:rsidRPr="00B6577C">
              <w:rPr>
                <w:b/>
                <w:bCs/>
                <w:szCs w:val="20"/>
                <w:lang w:val="en-GB"/>
              </w:rPr>
              <w:lastRenderedPageBreak/>
              <w:t>Male (%)</w:t>
            </w:r>
          </w:p>
        </w:tc>
        <w:tc>
          <w:tcPr>
            <w:tcW w:w="1636" w:type="dxa"/>
            <w:shd w:val="clear" w:color="auto" w:fill="auto"/>
          </w:tcPr>
          <w:p w14:paraId="22B7EE92" w14:textId="77777777" w:rsidR="00B6577C" w:rsidRPr="00B6577C" w:rsidRDefault="00B6577C" w:rsidP="00B6577C">
            <w:pPr>
              <w:rPr>
                <w:szCs w:val="20"/>
                <w:lang w:val="en-GB"/>
              </w:rPr>
            </w:pPr>
            <w:r w:rsidRPr="00B6577C">
              <w:rPr>
                <w:szCs w:val="20"/>
                <w:lang w:val="en-GB"/>
              </w:rPr>
              <w:t>51</w:t>
            </w:r>
          </w:p>
        </w:tc>
        <w:tc>
          <w:tcPr>
            <w:tcW w:w="1620" w:type="dxa"/>
            <w:shd w:val="clear" w:color="auto" w:fill="auto"/>
          </w:tcPr>
          <w:p w14:paraId="05480F8A" w14:textId="77777777" w:rsidR="00B6577C" w:rsidRPr="00B6577C" w:rsidRDefault="00B6577C" w:rsidP="00B6577C">
            <w:pPr>
              <w:rPr>
                <w:szCs w:val="20"/>
                <w:lang w:val="en-GB"/>
              </w:rPr>
            </w:pPr>
            <w:r w:rsidRPr="00B6577C">
              <w:rPr>
                <w:szCs w:val="20"/>
                <w:lang w:val="en-GB"/>
              </w:rPr>
              <w:t>50.1</w:t>
            </w:r>
          </w:p>
        </w:tc>
        <w:tc>
          <w:tcPr>
            <w:tcW w:w="1440" w:type="dxa"/>
            <w:shd w:val="clear" w:color="auto" w:fill="auto"/>
          </w:tcPr>
          <w:p w14:paraId="3888D2F6" w14:textId="77777777" w:rsidR="00B6577C" w:rsidRPr="00B6577C" w:rsidRDefault="00B6577C" w:rsidP="00B6577C">
            <w:pPr>
              <w:rPr>
                <w:szCs w:val="20"/>
                <w:lang w:val="en-GB"/>
              </w:rPr>
            </w:pPr>
            <w:r w:rsidRPr="00B6577C">
              <w:rPr>
                <w:szCs w:val="20"/>
                <w:lang w:val="en-GB"/>
              </w:rPr>
              <w:t>51.4</w:t>
            </w:r>
          </w:p>
        </w:tc>
        <w:tc>
          <w:tcPr>
            <w:tcW w:w="1329" w:type="dxa"/>
            <w:shd w:val="clear" w:color="auto" w:fill="auto"/>
          </w:tcPr>
          <w:p w14:paraId="7411F930" w14:textId="77777777" w:rsidR="00B6577C" w:rsidRPr="00B6577C" w:rsidRDefault="00B6577C" w:rsidP="00B6577C">
            <w:pPr>
              <w:rPr>
                <w:szCs w:val="20"/>
                <w:lang w:val="en-GB"/>
              </w:rPr>
            </w:pPr>
            <w:r w:rsidRPr="00B6577C">
              <w:rPr>
                <w:szCs w:val="20"/>
                <w:lang w:val="en-GB"/>
              </w:rPr>
              <w:t>52.2</w:t>
            </w:r>
          </w:p>
        </w:tc>
        <w:tc>
          <w:tcPr>
            <w:tcW w:w="1283" w:type="dxa"/>
            <w:shd w:val="clear" w:color="auto" w:fill="auto"/>
          </w:tcPr>
          <w:p w14:paraId="70918DC3" w14:textId="77777777" w:rsidR="00B6577C" w:rsidRPr="00B6577C" w:rsidRDefault="00B6577C" w:rsidP="00B6577C">
            <w:pPr>
              <w:rPr>
                <w:szCs w:val="20"/>
                <w:lang w:val="en-GB"/>
              </w:rPr>
            </w:pPr>
            <w:r w:rsidRPr="00B6577C">
              <w:rPr>
                <w:szCs w:val="20"/>
                <w:lang w:val="en-GB"/>
              </w:rPr>
              <w:t>51</w:t>
            </w:r>
          </w:p>
        </w:tc>
      </w:tr>
      <w:tr w:rsidR="00B6577C" w:rsidRPr="00B6577C" w14:paraId="18A695F4" w14:textId="77777777" w:rsidTr="005E0688">
        <w:tc>
          <w:tcPr>
            <w:tcW w:w="1689" w:type="dxa"/>
            <w:shd w:val="clear" w:color="auto" w:fill="auto"/>
          </w:tcPr>
          <w:p w14:paraId="454503E3" w14:textId="77777777" w:rsidR="00B6577C" w:rsidRPr="00B6577C" w:rsidRDefault="00B6577C" w:rsidP="00B6577C">
            <w:pPr>
              <w:rPr>
                <w:b/>
                <w:bCs/>
                <w:szCs w:val="20"/>
                <w:lang w:val="en-GB"/>
              </w:rPr>
            </w:pPr>
            <w:r w:rsidRPr="00B6577C">
              <w:rPr>
                <w:b/>
                <w:bCs/>
                <w:szCs w:val="20"/>
                <w:lang w:val="en-GB"/>
              </w:rPr>
              <w:t>Female (%)</w:t>
            </w:r>
          </w:p>
        </w:tc>
        <w:tc>
          <w:tcPr>
            <w:tcW w:w="1636" w:type="dxa"/>
            <w:shd w:val="clear" w:color="auto" w:fill="auto"/>
          </w:tcPr>
          <w:p w14:paraId="03B2E340" w14:textId="77777777" w:rsidR="00B6577C" w:rsidRPr="00B6577C" w:rsidRDefault="00B6577C" w:rsidP="00B6577C">
            <w:pPr>
              <w:rPr>
                <w:szCs w:val="20"/>
                <w:lang w:val="en-GB"/>
              </w:rPr>
            </w:pPr>
            <w:r w:rsidRPr="00B6577C">
              <w:rPr>
                <w:szCs w:val="20"/>
                <w:lang w:val="en-GB"/>
              </w:rPr>
              <w:t>49</w:t>
            </w:r>
          </w:p>
        </w:tc>
        <w:tc>
          <w:tcPr>
            <w:tcW w:w="1620" w:type="dxa"/>
            <w:shd w:val="clear" w:color="auto" w:fill="auto"/>
          </w:tcPr>
          <w:p w14:paraId="00C4C22E" w14:textId="77777777" w:rsidR="00B6577C" w:rsidRPr="00B6577C" w:rsidRDefault="00B6577C" w:rsidP="00B6577C">
            <w:pPr>
              <w:rPr>
                <w:szCs w:val="20"/>
                <w:lang w:val="en-GB"/>
              </w:rPr>
            </w:pPr>
            <w:r w:rsidRPr="00B6577C">
              <w:rPr>
                <w:szCs w:val="20"/>
                <w:lang w:val="en-GB"/>
              </w:rPr>
              <w:t>49.9</w:t>
            </w:r>
          </w:p>
        </w:tc>
        <w:tc>
          <w:tcPr>
            <w:tcW w:w="1440" w:type="dxa"/>
            <w:shd w:val="clear" w:color="auto" w:fill="auto"/>
          </w:tcPr>
          <w:p w14:paraId="175A0D78" w14:textId="77777777" w:rsidR="00B6577C" w:rsidRPr="00B6577C" w:rsidRDefault="00B6577C" w:rsidP="00B6577C">
            <w:pPr>
              <w:rPr>
                <w:szCs w:val="20"/>
                <w:lang w:val="en-GB"/>
              </w:rPr>
            </w:pPr>
            <w:r w:rsidRPr="00B6577C">
              <w:rPr>
                <w:szCs w:val="20"/>
                <w:lang w:val="en-GB"/>
              </w:rPr>
              <w:t>48.6</w:t>
            </w:r>
          </w:p>
        </w:tc>
        <w:tc>
          <w:tcPr>
            <w:tcW w:w="1329" w:type="dxa"/>
            <w:shd w:val="clear" w:color="auto" w:fill="auto"/>
          </w:tcPr>
          <w:p w14:paraId="74C37541" w14:textId="77777777" w:rsidR="00B6577C" w:rsidRPr="00B6577C" w:rsidRDefault="00B6577C" w:rsidP="00B6577C">
            <w:pPr>
              <w:rPr>
                <w:szCs w:val="20"/>
                <w:lang w:val="en-GB"/>
              </w:rPr>
            </w:pPr>
            <w:r w:rsidRPr="00B6577C">
              <w:rPr>
                <w:szCs w:val="20"/>
                <w:lang w:val="en-GB"/>
              </w:rPr>
              <w:t>47.8</w:t>
            </w:r>
          </w:p>
        </w:tc>
        <w:tc>
          <w:tcPr>
            <w:tcW w:w="1283" w:type="dxa"/>
            <w:shd w:val="clear" w:color="auto" w:fill="auto"/>
          </w:tcPr>
          <w:p w14:paraId="097640F4" w14:textId="77777777" w:rsidR="00B6577C" w:rsidRPr="00B6577C" w:rsidRDefault="00B6577C" w:rsidP="00B6577C">
            <w:pPr>
              <w:rPr>
                <w:szCs w:val="20"/>
                <w:lang w:val="en-GB"/>
              </w:rPr>
            </w:pPr>
            <w:r w:rsidRPr="00B6577C">
              <w:rPr>
                <w:szCs w:val="20"/>
                <w:lang w:val="en-GB"/>
              </w:rPr>
              <w:t>49</w:t>
            </w:r>
          </w:p>
        </w:tc>
      </w:tr>
      <w:tr w:rsidR="00B6577C" w:rsidRPr="00B6577C" w14:paraId="67F10990" w14:textId="77777777" w:rsidTr="005E0688">
        <w:tc>
          <w:tcPr>
            <w:tcW w:w="1689" w:type="dxa"/>
            <w:shd w:val="clear" w:color="auto" w:fill="auto"/>
          </w:tcPr>
          <w:p w14:paraId="49D365CA" w14:textId="77777777" w:rsidR="00B6577C" w:rsidRPr="00B6577C" w:rsidRDefault="00B6577C" w:rsidP="00B6577C">
            <w:pPr>
              <w:rPr>
                <w:b/>
                <w:bCs/>
                <w:szCs w:val="20"/>
                <w:lang w:val="en-GB"/>
              </w:rPr>
            </w:pPr>
            <w:r w:rsidRPr="00B6577C">
              <w:rPr>
                <w:b/>
                <w:bCs/>
                <w:szCs w:val="20"/>
                <w:lang w:val="en-GB"/>
              </w:rPr>
              <w:t>Surface (km2)</w:t>
            </w:r>
          </w:p>
        </w:tc>
        <w:tc>
          <w:tcPr>
            <w:tcW w:w="1636" w:type="dxa"/>
            <w:shd w:val="clear" w:color="auto" w:fill="auto"/>
          </w:tcPr>
          <w:p w14:paraId="4DF4E068" w14:textId="77777777" w:rsidR="00B6577C" w:rsidRPr="00B6577C" w:rsidRDefault="00B6577C" w:rsidP="00B6577C">
            <w:pPr>
              <w:rPr>
                <w:szCs w:val="20"/>
                <w:lang w:val="en-GB"/>
              </w:rPr>
            </w:pPr>
            <w:r w:rsidRPr="00B6577C">
              <w:rPr>
                <w:szCs w:val="20"/>
                <w:lang w:val="en-GB"/>
              </w:rPr>
              <w:t>1,369.9</w:t>
            </w:r>
          </w:p>
        </w:tc>
        <w:tc>
          <w:tcPr>
            <w:tcW w:w="1620" w:type="dxa"/>
            <w:shd w:val="clear" w:color="auto" w:fill="auto"/>
          </w:tcPr>
          <w:p w14:paraId="4651D072" w14:textId="77777777" w:rsidR="00B6577C" w:rsidRPr="00B6577C" w:rsidRDefault="00B6577C" w:rsidP="00B6577C">
            <w:pPr>
              <w:rPr>
                <w:szCs w:val="20"/>
                <w:lang w:val="en-GB"/>
              </w:rPr>
            </w:pPr>
            <w:r w:rsidRPr="00B6577C">
              <w:rPr>
                <w:szCs w:val="20"/>
                <w:lang w:val="en-GB"/>
              </w:rPr>
              <w:t>1,280</w:t>
            </w:r>
          </w:p>
        </w:tc>
        <w:tc>
          <w:tcPr>
            <w:tcW w:w="1440" w:type="dxa"/>
            <w:shd w:val="clear" w:color="auto" w:fill="auto"/>
          </w:tcPr>
          <w:p w14:paraId="4BB67703" w14:textId="77777777" w:rsidR="00B6577C" w:rsidRPr="00B6577C" w:rsidRDefault="00B6577C" w:rsidP="00B6577C">
            <w:pPr>
              <w:rPr>
                <w:szCs w:val="20"/>
                <w:lang w:val="en-GB"/>
              </w:rPr>
            </w:pPr>
            <w:r w:rsidRPr="00B6577C">
              <w:rPr>
                <w:szCs w:val="20"/>
                <w:lang w:val="en-GB"/>
              </w:rPr>
              <w:t>1,287.265</w:t>
            </w:r>
          </w:p>
        </w:tc>
        <w:tc>
          <w:tcPr>
            <w:tcW w:w="1329" w:type="dxa"/>
            <w:shd w:val="clear" w:color="auto" w:fill="auto"/>
          </w:tcPr>
          <w:p w14:paraId="32008083" w14:textId="77777777" w:rsidR="00B6577C" w:rsidRPr="00B6577C" w:rsidRDefault="00B6577C" w:rsidP="00B6577C">
            <w:pPr>
              <w:rPr>
                <w:szCs w:val="20"/>
                <w:lang w:val="en-GB"/>
              </w:rPr>
            </w:pPr>
            <w:r w:rsidRPr="00B6577C">
              <w:rPr>
                <w:szCs w:val="20"/>
                <w:lang w:val="en-GB"/>
              </w:rPr>
              <w:t>874</w:t>
            </w:r>
          </w:p>
        </w:tc>
        <w:tc>
          <w:tcPr>
            <w:tcW w:w="1283" w:type="dxa"/>
            <w:shd w:val="clear" w:color="auto" w:fill="auto"/>
          </w:tcPr>
          <w:p w14:paraId="584EF3EF" w14:textId="77777777" w:rsidR="00B6577C" w:rsidRPr="00B6577C" w:rsidRDefault="00B6577C" w:rsidP="00B6577C">
            <w:pPr>
              <w:rPr>
                <w:szCs w:val="20"/>
                <w:lang w:val="en-GB"/>
              </w:rPr>
            </w:pPr>
            <w:r w:rsidRPr="00B6577C">
              <w:rPr>
                <w:szCs w:val="20"/>
                <w:lang w:val="en-GB"/>
              </w:rPr>
              <w:t>4,811.165</w:t>
            </w:r>
          </w:p>
        </w:tc>
      </w:tr>
      <w:tr w:rsidR="00B6577C" w:rsidRPr="00B6577C" w14:paraId="52CFF0D2" w14:textId="77777777" w:rsidTr="005E0688">
        <w:tc>
          <w:tcPr>
            <w:tcW w:w="1689" w:type="dxa"/>
            <w:shd w:val="clear" w:color="auto" w:fill="auto"/>
          </w:tcPr>
          <w:p w14:paraId="2508CF2D" w14:textId="77777777" w:rsidR="00B6577C" w:rsidRPr="00B6577C" w:rsidRDefault="00B6577C" w:rsidP="00B6577C">
            <w:pPr>
              <w:rPr>
                <w:b/>
                <w:bCs/>
                <w:szCs w:val="20"/>
                <w:lang w:val="en-GB"/>
              </w:rPr>
            </w:pPr>
            <w:r w:rsidRPr="00B6577C">
              <w:rPr>
                <w:b/>
                <w:bCs/>
                <w:szCs w:val="20"/>
                <w:lang w:val="en-GB"/>
              </w:rPr>
              <w:t>Forest Reserves</w:t>
            </w:r>
          </w:p>
        </w:tc>
        <w:tc>
          <w:tcPr>
            <w:tcW w:w="1636" w:type="dxa"/>
            <w:shd w:val="clear" w:color="auto" w:fill="auto"/>
          </w:tcPr>
          <w:p w14:paraId="5E00C078" w14:textId="77777777" w:rsidR="00B6577C" w:rsidRPr="00B6577C" w:rsidRDefault="00B6577C" w:rsidP="00B6577C">
            <w:pPr>
              <w:rPr>
                <w:szCs w:val="20"/>
                <w:lang w:val="en-GB"/>
              </w:rPr>
            </w:pPr>
            <w:proofErr w:type="spellStart"/>
            <w:r w:rsidRPr="00B6577C">
              <w:rPr>
                <w:szCs w:val="20"/>
                <w:lang w:val="en-GB"/>
              </w:rPr>
              <w:t>Krokosue</w:t>
            </w:r>
            <w:proofErr w:type="spellEnd"/>
          </w:p>
        </w:tc>
        <w:tc>
          <w:tcPr>
            <w:tcW w:w="1620" w:type="dxa"/>
            <w:shd w:val="clear" w:color="auto" w:fill="auto"/>
          </w:tcPr>
          <w:p w14:paraId="5DE4B49A" w14:textId="77777777" w:rsidR="00B6577C" w:rsidRPr="00B6577C" w:rsidRDefault="00B6577C" w:rsidP="00B6577C">
            <w:pPr>
              <w:rPr>
                <w:szCs w:val="20"/>
                <w:lang w:val="en-GB"/>
              </w:rPr>
            </w:pPr>
            <w:proofErr w:type="spellStart"/>
            <w:r w:rsidRPr="00B6577C">
              <w:rPr>
                <w:szCs w:val="20"/>
                <w:lang w:val="en-GB"/>
              </w:rPr>
              <w:t>Muro</w:t>
            </w:r>
            <w:proofErr w:type="spellEnd"/>
            <w:r w:rsidRPr="00B6577C">
              <w:rPr>
                <w:szCs w:val="20"/>
                <w:lang w:val="en-GB"/>
              </w:rPr>
              <w:t xml:space="preserve">, </w:t>
            </w:r>
            <w:proofErr w:type="spellStart"/>
            <w:r w:rsidRPr="00B6577C">
              <w:rPr>
                <w:szCs w:val="20"/>
                <w:lang w:val="en-GB"/>
              </w:rPr>
              <w:t>Suhuma</w:t>
            </w:r>
            <w:proofErr w:type="spellEnd"/>
            <w:r w:rsidRPr="00B6577C">
              <w:rPr>
                <w:szCs w:val="20"/>
                <w:lang w:val="en-GB"/>
              </w:rPr>
              <w:t xml:space="preserve">, Tano </w:t>
            </w:r>
            <w:proofErr w:type="spellStart"/>
            <w:r w:rsidRPr="00B6577C">
              <w:rPr>
                <w:szCs w:val="20"/>
                <w:lang w:val="en-GB"/>
              </w:rPr>
              <w:t>Suhien</w:t>
            </w:r>
            <w:proofErr w:type="spellEnd"/>
          </w:p>
        </w:tc>
        <w:tc>
          <w:tcPr>
            <w:tcW w:w="1440" w:type="dxa"/>
            <w:shd w:val="clear" w:color="auto" w:fill="auto"/>
          </w:tcPr>
          <w:p w14:paraId="29F15F33" w14:textId="77777777" w:rsidR="00B6577C" w:rsidRPr="00B6577C" w:rsidRDefault="00B6577C" w:rsidP="00B6577C">
            <w:pPr>
              <w:rPr>
                <w:szCs w:val="20"/>
                <w:lang w:val="en-GB"/>
              </w:rPr>
            </w:pPr>
            <w:r w:rsidRPr="00B6577C">
              <w:rPr>
                <w:szCs w:val="20"/>
                <w:lang w:val="en-GB"/>
              </w:rPr>
              <w:t xml:space="preserve">Bia Game, Bia </w:t>
            </w:r>
            <w:proofErr w:type="spellStart"/>
            <w:r w:rsidRPr="00B6577C">
              <w:rPr>
                <w:szCs w:val="20"/>
                <w:lang w:val="en-GB"/>
              </w:rPr>
              <w:t>Torya</w:t>
            </w:r>
            <w:proofErr w:type="spellEnd"/>
          </w:p>
        </w:tc>
        <w:tc>
          <w:tcPr>
            <w:tcW w:w="1329" w:type="dxa"/>
            <w:shd w:val="clear" w:color="auto" w:fill="auto"/>
          </w:tcPr>
          <w:p w14:paraId="2BDDE68B" w14:textId="77777777" w:rsidR="00B6577C" w:rsidRPr="00B6577C" w:rsidRDefault="00B6577C" w:rsidP="00B6577C">
            <w:pPr>
              <w:rPr>
                <w:szCs w:val="20"/>
                <w:lang w:val="en-GB"/>
              </w:rPr>
            </w:pPr>
            <w:r w:rsidRPr="00B6577C">
              <w:rPr>
                <w:szCs w:val="20"/>
                <w:lang w:val="en-GB"/>
              </w:rPr>
              <w:t xml:space="preserve">Bia Tributaries, </w:t>
            </w:r>
            <w:proofErr w:type="spellStart"/>
            <w:r w:rsidRPr="00B6577C">
              <w:rPr>
                <w:szCs w:val="20"/>
                <w:lang w:val="en-GB"/>
              </w:rPr>
              <w:t>Manzan</w:t>
            </w:r>
            <w:proofErr w:type="spellEnd"/>
          </w:p>
        </w:tc>
        <w:tc>
          <w:tcPr>
            <w:tcW w:w="1283" w:type="dxa"/>
            <w:shd w:val="clear" w:color="auto" w:fill="auto"/>
          </w:tcPr>
          <w:p w14:paraId="7AE2331E" w14:textId="77777777" w:rsidR="00B6577C" w:rsidRPr="00B6577C" w:rsidRDefault="00B6577C" w:rsidP="00B6577C">
            <w:pPr>
              <w:rPr>
                <w:szCs w:val="20"/>
                <w:lang w:val="en-GB"/>
              </w:rPr>
            </w:pPr>
          </w:p>
        </w:tc>
      </w:tr>
    </w:tbl>
    <w:p w14:paraId="0E5689ED" w14:textId="77777777" w:rsidR="00B6577C" w:rsidRPr="00B6577C" w:rsidRDefault="00B6577C" w:rsidP="00B6577C">
      <w:pPr>
        <w:rPr>
          <w:szCs w:val="20"/>
        </w:rPr>
      </w:pPr>
    </w:p>
    <w:p w14:paraId="28F5F036" w14:textId="77777777" w:rsidR="00B6577C" w:rsidRPr="003F183D" w:rsidRDefault="00B6577C" w:rsidP="003F183D">
      <w:pPr>
        <w:jc w:val="both"/>
        <w:rPr>
          <w:rFonts w:cs="Calibri"/>
          <w:lang w:val="en-GB"/>
        </w:rPr>
      </w:pPr>
      <w:r w:rsidRPr="003F183D">
        <w:rPr>
          <w:rFonts w:cs="Calibri"/>
          <w:lang w:val="en-GB"/>
        </w:rPr>
        <w:t xml:space="preserve">The JB and SW landscape cover four out of the nine districts under the Ghana cocoa forest REDD + </w:t>
      </w:r>
      <w:proofErr w:type="spellStart"/>
      <w:r w:rsidRPr="003F183D">
        <w:rPr>
          <w:rFonts w:cs="Calibri"/>
          <w:lang w:val="en-GB"/>
        </w:rPr>
        <w:t>Programme</w:t>
      </w:r>
      <w:proofErr w:type="spellEnd"/>
      <w:r w:rsidRPr="003F183D">
        <w:rPr>
          <w:rFonts w:cs="Calibri"/>
          <w:lang w:val="en-GB"/>
        </w:rPr>
        <w:t xml:space="preserve"> and form a block/single unit. This landscape is/can be characterized as one landscape on the basis of  </w:t>
      </w:r>
      <w:proofErr w:type="spellStart"/>
      <w:r w:rsidRPr="003F183D">
        <w:rPr>
          <w:rFonts w:cs="Calibri"/>
          <w:lang w:val="en-GB"/>
        </w:rPr>
        <w:t>i</w:t>
      </w:r>
      <w:proofErr w:type="spellEnd"/>
      <w:r w:rsidRPr="003F183D">
        <w:rPr>
          <w:rFonts w:cs="Calibri"/>
          <w:lang w:val="en-GB"/>
        </w:rPr>
        <w:t xml:space="preserve">) common borders that the four districts share in a row (for instance,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Wiawso</w:t>
      </w:r>
      <w:proofErr w:type="spellEnd"/>
      <w:r w:rsidRPr="003F183D">
        <w:rPr>
          <w:rFonts w:cs="Calibri"/>
          <w:lang w:val="en-GB"/>
        </w:rPr>
        <w:t xml:space="preserve"> has a common border with </w:t>
      </w:r>
      <w:proofErr w:type="spellStart"/>
      <w:r w:rsidRPr="003F183D">
        <w:rPr>
          <w:rFonts w:cs="Calibri"/>
          <w:lang w:val="en-GB"/>
        </w:rPr>
        <w:t>Juabeso</w:t>
      </w:r>
      <w:proofErr w:type="spellEnd"/>
      <w:r w:rsidRPr="003F183D">
        <w:rPr>
          <w:rFonts w:cs="Calibri"/>
          <w:lang w:val="en-GB"/>
        </w:rPr>
        <w:t xml:space="preserve">; </w:t>
      </w:r>
      <w:proofErr w:type="spellStart"/>
      <w:r w:rsidRPr="003F183D">
        <w:rPr>
          <w:rFonts w:cs="Calibri"/>
          <w:lang w:val="en-GB"/>
        </w:rPr>
        <w:t>Juabeso</w:t>
      </w:r>
      <w:proofErr w:type="spellEnd"/>
      <w:r w:rsidRPr="003F183D">
        <w:rPr>
          <w:rFonts w:cs="Calibri"/>
          <w:lang w:val="en-GB"/>
        </w:rPr>
        <w:t xml:space="preserve"> has a common border with Bia West; and Bia West has a common border with Bia East; ii) approximately same level of average annual rainfall and temperature experienced; iii) same administrative district, but has been divided to allow for ease in governance, increase and spread of development (for instance, the Bia district has been divided into Bia West and East districts, a few years ago; iv) same cash crop (cocoa) and food crop (cassava, maize, plantain, with little rice cultivation in in-land valleys) cultivation by farmers; same for livestock rearing at lower level including chicken, goats, sheep and pigs, v) same forest resources (timber species) found  and with mineral deposits (gold) extraction  in only certain portions of this landscape.</w:t>
      </w:r>
    </w:p>
    <w:p w14:paraId="7E0D1A69" w14:textId="77777777" w:rsidR="00B6577C" w:rsidRPr="003F183D" w:rsidRDefault="00B6577C" w:rsidP="003F183D">
      <w:pPr>
        <w:jc w:val="both"/>
        <w:rPr>
          <w:rFonts w:cs="Calibri"/>
          <w:lang w:val="en-GB"/>
        </w:rPr>
      </w:pPr>
      <w:r w:rsidRPr="003F183D">
        <w:rPr>
          <w:rFonts w:cs="Calibri"/>
          <w:lang w:val="en-GB"/>
        </w:rPr>
        <w:t xml:space="preserve">The land use trend for the JB and SW landscape for the past 2.5 decades (1990 to 2015) shows expansion of cropland and settlement and, reduction in forest cover. This trend shows both forest degradation and deforestation. Some forest reserves show significant loss in forest cover between 2000 and 2015. There is an increase in cropland of about 9000 ha from 2000 to 2015, which is higher than that of the increase from 1990 to 2000 (about 5200 ha). The increase in cropland has not occurred in the protected areas i.e. forest and wildlife reserves which are under strict management have largely remained intact. </w:t>
      </w:r>
    </w:p>
    <w:p w14:paraId="57BB2355" w14:textId="77777777" w:rsidR="00B6577C" w:rsidRPr="003F183D" w:rsidRDefault="00B6577C" w:rsidP="003F183D">
      <w:pPr>
        <w:jc w:val="both"/>
        <w:rPr>
          <w:rFonts w:cs="Calibri"/>
          <w:lang w:val="en-GB"/>
        </w:rPr>
      </w:pPr>
      <w:r w:rsidRPr="003F183D">
        <w:rPr>
          <w:rFonts w:cs="Calibri"/>
          <w:lang w:val="en-GB"/>
        </w:rPr>
        <w:t>In 1990 and 2000 the croplands were in small patches spread throughout the landscape while in 2015 the croplands were clustered and more concentrated at the western part of the landscape. Open forest increases across the period as a result of degradation of the closed forest, thus closed forest decreases from 1990 to 2015. In 1990 and 2000 there were patches of closed forest outside the forest and wildlife reserves whiles in 2000 and 2015 they have all been converted to other land uses. Settlement and bare ground increased from 1990 to 2015.</w:t>
      </w:r>
    </w:p>
    <w:p w14:paraId="41475104" w14:textId="77777777" w:rsidR="00F6756E" w:rsidRDefault="00F6756E" w:rsidP="003F183D">
      <w:pPr>
        <w:pStyle w:val="Kop2"/>
      </w:pPr>
      <w:r>
        <w:t>Problem analysis</w:t>
      </w:r>
    </w:p>
    <w:p w14:paraId="67FBD7D3" w14:textId="77777777" w:rsidR="00B6577C" w:rsidRPr="003F183D" w:rsidRDefault="00B6577C" w:rsidP="003F183D">
      <w:pPr>
        <w:jc w:val="both"/>
        <w:rPr>
          <w:rFonts w:cs="Calibri"/>
          <w:lang w:val="en-GB"/>
        </w:rPr>
      </w:pPr>
      <w:r w:rsidRPr="003F183D">
        <w:rPr>
          <w:rFonts w:cs="Calibri"/>
          <w:lang w:val="en-GB"/>
        </w:rPr>
        <w:t xml:space="preserve">Current land use practises mostly unstainable farming practises and agricultural expansion is the major cause of deforestation and forest degradation and responsible for carbon emissions and its resultant climate change impact and vulnerability in the JB and SW landscape. Climate change is undermining the livelihoods of smallholder farmers and local communities in JB and SW, making them vulnerable and adversely affecting their productivity and economic development. It is important to come up with strategies to absorb the socio-economic and physical shocks caused by climate change by developing climate resilient landscapes, with inclusive green growth businesses and investments/finance as this will contribute to social and economic stability of the landscape. Climate change and land use related problems include the following:  </w:t>
      </w:r>
    </w:p>
    <w:p w14:paraId="43939D88"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Rainfed agricultural farming which suffers from increasing unpredictable amount of precipitation and high temperature</w:t>
      </w:r>
    </w:p>
    <w:p w14:paraId="110F491E"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Unstainable farming practices, full sun or low shade cocoa farms increasing the vulnerability of farms to impact of climate change</w:t>
      </w:r>
    </w:p>
    <w:p w14:paraId="1274CE28"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Over reliance on cocoa, smallholder farmers putting all available land under cocoa production at the neglect of other crops, (dwindling land for farming),</w:t>
      </w:r>
    </w:p>
    <w:p w14:paraId="2615883C"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lastRenderedPageBreak/>
        <w:t>Lack of awareness on green economy and climate change and its impact on development</w:t>
      </w:r>
    </w:p>
    <w:p w14:paraId="23182603"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Low adoptive capacity of smallholder farmers to impact of climate change</w:t>
      </w:r>
    </w:p>
    <w:p w14:paraId="70770E1D"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Increased land degradation and loss of crop land</w:t>
      </w:r>
    </w:p>
    <w:p w14:paraId="22656440"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Insecure rights over trees and land preventing farmers from making medium- and long-term investments into climate resilient actions (renovation and rehabilitation of unproductive and diseased cocoa farms)</w:t>
      </w:r>
    </w:p>
    <w:p w14:paraId="26C3AC84"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 xml:space="preserve">Agricultural expansion/encroachment into forest reserves, illegal logging, illegal mining and overexploitation of timber resources </w:t>
      </w:r>
    </w:p>
    <w:p w14:paraId="3BBDFF72"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Risk associated with fire, floods and natural disasters to life and properties</w:t>
      </w:r>
    </w:p>
    <w:p w14:paraId="51C4694D" w14:textId="77777777" w:rsidR="003F183D" w:rsidRDefault="003F183D" w:rsidP="003F183D">
      <w:pPr>
        <w:jc w:val="both"/>
        <w:rPr>
          <w:rFonts w:cs="Calibri"/>
          <w:lang w:val="en-GB"/>
        </w:rPr>
      </w:pPr>
    </w:p>
    <w:p w14:paraId="02FD9ACD" w14:textId="2349656A" w:rsidR="00B6577C" w:rsidRPr="003F183D" w:rsidRDefault="00B6577C" w:rsidP="003F183D">
      <w:pPr>
        <w:jc w:val="both"/>
        <w:rPr>
          <w:rFonts w:cs="Calibri"/>
          <w:lang w:val="en-GB"/>
        </w:rPr>
      </w:pPr>
      <w:r w:rsidRPr="003F183D">
        <w:rPr>
          <w:rFonts w:cs="Calibri"/>
          <w:lang w:val="en-GB"/>
        </w:rPr>
        <w:t>Another key problem affecting climate resilience/smart practices in the JB and SW landscape relates to the lack of coordination and planning amongst implementing agencies, companies, organizations and governance bodies across the cocoa and forestry sectors, which has led institutions working in a poorly coordinated manner.  In addition, farmers’ and forest users’ decision-making is still being dictated by economic and policy constraints, including limited access to resources (i.e. information, economic, and agronomic), and tree tenure regimes that do not incentivize retention of trees on-farm. The lack of resources and capacity to support effective law enforcement, have also left the forests highly susceptible to wanton exploitation. At the national level, government’s drive to increase cocoa production has led to cocoa “</w:t>
      </w:r>
      <w:proofErr w:type="spellStart"/>
      <w:r w:rsidRPr="003F183D">
        <w:rPr>
          <w:rFonts w:cs="Calibri"/>
          <w:lang w:val="en-GB"/>
        </w:rPr>
        <w:t>extensification</w:t>
      </w:r>
      <w:proofErr w:type="spellEnd"/>
      <w:r w:rsidRPr="003F183D">
        <w:rPr>
          <w:rFonts w:cs="Calibri"/>
          <w:lang w:val="en-GB"/>
        </w:rPr>
        <w:t xml:space="preserve">” rather than intensification thereby leading to destruction of secondary forests and to some extent encroachment into forest reserves. The government’s quest to meet the socio-economic needs of its citizen often leads to decisions that have adverse effects on environmental conservation, and there seem to be non-integration of Agriculture and Forestry activities and policies at the national level. It is very critical to ensure proper coordination and synergies of all public and private sector initiatives towards climate resilience in mobilizing resources to strengthen local </w:t>
      </w:r>
      <w:r w:rsidR="00450E9B" w:rsidRPr="003F183D">
        <w:rPr>
          <w:rFonts w:cs="Calibri"/>
          <w:lang w:val="en-GB"/>
        </w:rPr>
        <w:t>communities’</w:t>
      </w:r>
      <w:r w:rsidRPr="003F183D">
        <w:rPr>
          <w:rFonts w:cs="Calibri"/>
          <w:lang w:val="en-GB"/>
        </w:rPr>
        <w:t xml:space="preserve"> capacities in climate resilient actions and businesses. Specific governance problems encountered in the landscape are: </w:t>
      </w:r>
    </w:p>
    <w:p w14:paraId="56284A8A"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Lack of coordination and planning amongst implementing agencies, companies, organizations and governance bodies across the cocoa and forestry sectors, which has allowed institutions to work in contrast to one another,</w:t>
      </w:r>
    </w:p>
    <w:p w14:paraId="62C08672"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Existence of several individual CSO initiatives that are uncoordinated to ensure climate smart landscape,</w:t>
      </w:r>
    </w:p>
    <w:p w14:paraId="0EF2ACFE"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Low level participation of farmers including women and youth in climate smart decision making,</w:t>
      </w:r>
    </w:p>
    <w:p w14:paraId="0EE33D21"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Lack of harmonization of sectoral policies and collaboration among various agencies in the natural resources sector,</w:t>
      </w:r>
    </w:p>
    <w:p w14:paraId="3EACDEF3"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Farmers do not have ownership rights to naturally occurring trees on their farms and do not receive any payment for tending such trees and</w:t>
      </w:r>
    </w:p>
    <w:p w14:paraId="08F1E074"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Poor enforcement of sector regulation.</w:t>
      </w:r>
    </w:p>
    <w:p w14:paraId="423C8341" w14:textId="77777777" w:rsidR="00B6577C" w:rsidRPr="0063633D" w:rsidRDefault="00B6577C" w:rsidP="00B6577C">
      <w:pPr>
        <w:spacing w:line="240" w:lineRule="auto"/>
        <w:ind w:left="720"/>
        <w:rPr>
          <w:lang w:val="en-GB"/>
        </w:rPr>
      </w:pPr>
    </w:p>
    <w:p w14:paraId="26842889" w14:textId="77777777" w:rsidR="00B6577C" w:rsidRPr="003F183D" w:rsidRDefault="00B6577C" w:rsidP="003F183D">
      <w:pPr>
        <w:jc w:val="both"/>
        <w:rPr>
          <w:rFonts w:cs="Calibri"/>
          <w:lang w:val="en-GB"/>
        </w:rPr>
      </w:pPr>
      <w:r w:rsidRPr="003F183D">
        <w:rPr>
          <w:rFonts w:cs="Calibri"/>
          <w:lang w:val="en-GB"/>
        </w:rPr>
        <w:t xml:space="preserve">While some international companies start investing in climate resilient farming, and public funding is available for REDD+ actions, the emphasis is on mitigation and cocoa  related actions. Access to finance for climate resilient development and conservation activities remains a problem: </w:t>
      </w:r>
    </w:p>
    <w:p w14:paraId="3713D408"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Limited access to credit/investment facilities for smallholder farmers,</w:t>
      </w:r>
    </w:p>
    <w:p w14:paraId="0EB9FC98"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 xml:space="preserve">Poverty and related factors like low incomes, </w:t>
      </w:r>
    </w:p>
    <w:p w14:paraId="101C03DA" w14:textId="77777777" w:rsidR="00B6577C" w:rsidRPr="003F183D" w:rsidRDefault="00B6577C" w:rsidP="003F183D">
      <w:pPr>
        <w:pStyle w:val="Lijstalinea"/>
        <w:numPr>
          <w:ilvl w:val="0"/>
          <w:numId w:val="15"/>
        </w:numPr>
        <w:jc w:val="both"/>
        <w:rPr>
          <w:rFonts w:cs="Calibri"/>
          <w:lang w:val="en-GB"/>
        </w:rPr>
      </w:pPr>
      <w:r w:rsidRPr="003F183D">
        <w:rPr>
          <w:rFonts w:cs="Calibri"/>
          <w:lang w:val="en-GB"/>
        </w:rPr>
        <w:t>Non availability of off-farm employment (lack of diversification) and increase in price of land for cash crops (cocoa).</w:t>
      </w:r>
    </w:p>
    <w:p w14:paraId="1DCC7141" w14:textId="73B2D613" w:rsidR="00F6756E" w:rsidRDefault="00F6756E" w:rsidP="003F183D">
      <w:pPr>
        <w:pStyle w:val="Kop2"/>
      </w:pPr>
      <w:r>
        <w:t>Stakeholders and power dynamics</w:t>
      </w:r>
    </w:p>
    <w:p w14:paraId="472180C9" w14:textId="77777777" w:rsidR="00B6577C" w:rsidRPr="003F183D" w:rsidRDefault="00B6577C" w:rsidP="003F183D">
      <w:pPr>
        <w:jc w:val="both"/>
        <w:rPr>
          <w:rFonts w:cs="Calibri"/>
          <w:lang w:val="en-GB"/>
        </w:rPr>
      </w:pPr>
      <w:r w:rsidRPr="003F183D">
        <w:rPr>
          <w:rFonts w:cs="Calibri"/>
          <w:lang w:val="en-GB"/>
        </w:rPr>
        <w:t>There are two main actor groups at the sub national level (i.e. districts and landscape) (</w:t>
      </w:r>
      <w:proofErr w:type="spellStart"/>
      <w:r w:rsidRPr="003F183D">
        <w:rPr>
          <w:rFonts w:cs="Calibri"/>
          <w:lang w:val="en-GB"/>
        </w:rPr>
        <w:t>Damnyag</w:t>
      </w:r>
      <w:proofErr w:type="spellEnd"/>
      <w:r w:rsidRPr="003F183D">
        <w:rPr>
          <w:rFonts w:cs="Calibri"/>
          <w:lang w:val="en-GB"/>
        </w:rPr>
        <w:t xml:space="preserve"> et al 2018). These are  a) </w:t>
      </w:r>
      <w:r w:rsidRPr="003F183D">
        <w:rPr>
          <w:rFonts w:cs="Calibri"/>
          <w:b/>
          <w:bCs/>
          <w:lang w:val="en-GB"/>
        </w:rPr>
        <w:t>public</w:t>
      </w:r>
      <w:r w:rsidRPr="003F183D">
        <w:rPr>
          <w:rFonts w:cs="Calibri"/>
          <w:lang w:val="en-GB"/>
        </w:rPr>
        <w:t xml:space="preserve"> (government) including </w:t>
      </w:r>
      <w:proofErr w:type="spellStart"/>
      <w:r w:rsidRPr="003F183D">
        <w:rPr>
          <w:rFonts w:cs="Calibri"/>
          <w:lang w:val="en-GB"/>
        </w:rPr>
        <w:t>i</w:t>
      </w:r>
      <w:proofErr w:type="spellEnd"/>
      <w:r w:rsidRPr="003F183D">
        <w:rPr>
          <w:rFonts w:cs="Calibri"/>
          <w:lang w:val="en-GB"/>
        </w:rPr>
        <w:t xml:space="preserve">) district assembly (local authority), ii) Forest Services Division of the Forest </w:t>
      </w:r>
      <w:r w:rsidRPr="003F183D">
        <w:rPr>
          <w:rFonts w:cs="Calibri"/>
          <w:lang w:val="en-GB"/>
        </w:rPr>
        <w:lastRenderedPageBreak/>
        <w:t xml:space="preserve">Commission, iii) Cocoa Health and Extension Division (CHED) of the COCOBOD, iv) District Magistrate Court, v) Game and Wildlife Division, vi) District Department of Agriculture, vii) District Security Committee, viii) District National Disaster Organization, ix) District National Fire Service; and b) </w:t>
      </w:r>
      <w:r w:rsidRPr="003F183D">
        <w:rPr>
          <w:rFonts w:cs="Calibri"/>
          <w:b/>
          <w:bCs/>
          <w:lang w:val="en-GB"/>
        </w:rPr>
        <w:t>Private</w:t>
      </w:r>
      <w:r w:rsidRPr="003F183D">
        <w:rPr>
          <w:rFonts w:cs="Calibri"/>
          <w:lang w:val="en-GB"/>
        </w:rPr>
        <w:t xml:space="preserve"> actors including </w:t>
      </w:r>
      <w:proofErr w:type="spellStart"/>
      <w:r w:rsidRPr="003F183D">
        <w:rPr>
          <w:rFonts w:cs="Calibri"/>
          <w:lang w:val="en-GB"/>
        </w:rPr>
        <w:t>i</w:t>
      </w:r>
      <w:proofErr w:type="spellEnd"/>
      <w:r w:rsidRPr="003F183D">
        <w:rPr>
          <w:rFonts w:cs="Calibri"/>
          <w:lang w:val="en-GB"/>
        </w:rPr>
        <w:t xml:space="preserve">) cocoa buying companies, ii) Rainforest Alliance, iii) Conservation Foundation, iv) Timber processing companies, v) mining companies, vi) chainsaw operators, vii) Food and Agriculture Organization, viii) United Nations Development </w:t>
      </w:r>
      <w:proofErr w:type="spellStart"/>
      <w:r w:rsidRPr="003F183D">
        <w:rPr>
          <w:rFonts w:cs="Calibri"/>
          <w:lang w:val="en-GB"/>
        </w:rPr>
        <w:t>Programme</w:t>
      </w:r>
      <w:proofErr w:type="spellEnd"/>
      <w:r w:rsidRPr="003F183D">
        <w:rPr>
          <w:rFonts w:cs="Calibri"/>
          <w:lang w:val="en-GB"/>
        </w:rPr>
        <w:t xml:space="preserve">, ix) World Vision, x) Traditional Authority. Each of these actors is active in the sector that is related to it. For instance, the district magistrate court and the district security committee support the Forest Services Division in controlling the incidence of illegal logging and mining activities. </w:t>
      </w:r>
    </w:p>
    <w:p w14:paraId="6B56855F" w14:textId="77777777" w:rsidR="00B6577C" w:rsidRPr="0063633D" w:rsidRDefault="00B6577C" w:rsidP="00B6577C">
      <w:pPr>
        <w:spacing w:line="240" w:lineRule="auto"/>
        <w:jc w:val="both"/>
        <w:rPr>
          <w:lang w:val="en-US"/>
        </w:rPr>
      </w:pPr>
    </w:p>
    <w:p w14:paraId="71476BFE" w14:textId="77777777" w:rsidR="00B6577C" w:rsidRPr="003F183D" w:rsidRDefault="00B6577C" w:rsidP="003F183D">
      <w:pPr>
        <w:jc w:val="both"/>
        <w:rPr>
          <w:rFonts w:cs="Calibri"/>
          <w:lang w:val="en-GB"/>
        </w:rPr>
      </w:pPr>
      <w:r w:rsidRPr="003F183D">
        <w:rPr>
          <w:rFonts w:cs="Calibri"/>
          <w:lang w:val="en-GB"/>
        </w:rPr>
        <w:t xml:space="preserve">The actors at the local level in the communities in the landscape include </w:t>
      </w:r>
      <w:proofErr w:type="spellStart"/>
      <w:r w:rsidRPr="003F183D">
        <w:rPr>
          <w:rFonts w:cs="Calibri"/>
          <w:lang w:val="en-GB"/>
        </w:rPr>
        <w:t>i</w:t>
      </w:r>
      <w:proofErr w:type="spellEnd"/>
      <w:r w:rsidRPr="003F183D">
        <w:rPr>
          <w:rFonts w:cs="Calibri"/>
          <w:lang w:val="en-GB"/>
        </w:rPr>
        <w:t>) assembly member, ii) chiefs/traditional authority, iii) Smallholder farmers, iv) chainsaw operators, v) fire volunteers, vi) charcoal producers, vii) carpenters/wood carvers, viii) saw mill operators, ix) Non-timber forest product collectors, x) illegal miners, xi) unit committee members, xii) mining companies, xiii) cocoa buying companies. Each of these actors is also active in the sector (s) related to it.</w:t>
      </w:r>
    </w:p>
    <w:p w14:paraId="5C7AF26B" w14:textId="77777777" w:rsidR="003F183D" w:rsidRDefault="003F183D" w:rsidP="003F183D">
      <w:pPr>
        <w:jc w:val="both"/>
        <w:rPr>
          <w:rFonts w:cs="Calibri"/>
          <w:lang w:val="en-GB"/>
        </w:rPr>
      </w:pPr>
    </w:p>
    <w:p w14:paraId="1168A9B5" w14:textId="63FF8414" w:rsidR="00B6577C" w:rsidRPr="003F183D" w:rsidRDefault="00B6577C" w:rsidP="003F183D">
      <w:pPr>
        <w:jc w:val="both"/>
        <w:rPr>
          <w:rFonts w:cs="Calibri"/>
          <w:lang w:val="en-GB"/>
        </w:rPr>
      </w:pPr>
      <w:r w:rsidRPr="003F183D">
        <w:rPr>
          <w:rFonts w:cs="Calibri"/>
          <w:lang w:val="en-GB"/>
        </w:rPr>
        <w:t xml:space="preserve">The Ministry of Lands and Natural Resources (MLNR) and the Forest Service Division regulate resource utilization and the district assemblies are responsible for district development plans. The Cocoa Board and the Ministry of Food and Agriculture orient farmers towards more sustainable (mainly cocoa) production. Their influence is great, but the government bodies that should supervise implementation (mining commission, law enforcement agencies) are locally weak and exert little influence. In the private sector, large and small scale (legal and illegal) mining and timber companies and the media have a lot of influence on the actual land use and the current policies. Local producer organizations (women, cocoa, rice) and communities also affect land use, but have little influence on policies. </w:t>
      </w:r>
    </w:p>
    <w:p w14:paraId="774346B0" w14:textId="77777777" w:rsidR="00B6577C" w:rsidRPr="003F183D" w:rsidRDefault="00B6577C" w:rsidP="003F183D">
      <w:pPr>
        <w:jc w:val="both"/>
        <w:rPr>
          <w:rFonts w:cs="Calibri"/>
          <w:lang w:val="en-GB"/>
        </w:rPr>
      </w:pPr>
      <w:r w:rsidRPr="003F183D">
        <w:rPr>
          <w:rFonts w:cs="Calibri"/>
          <w:lang w:val="en-GB"/>
        </w:rPr>
        <w:t xml:space="preserve">CSOs active in the landscape are Rainforest Alliance, NCRC, SNV, </w:t>
      </w:r>
      <w:proofErr w:type="spellStart"/>
      <w:r w:rsidRPr="003F183D">
        <w:rPr>
          <w:rFonts w:cs="Calibri"/>
          <w:lang w:val="en-GB"/>
        </w:rPr>
        <w:t>AgroEco</w:t>
      </w:r>
      <w:proofErr w:type="spellEnd"/>
      <w:r w:rsidRPr="003F183D">
        <w:rPr>
          <w:rFonts w:cs="Calibri"/>
          <w:lang w:val="en-GB"/>
        </w:rPr>
        <w:t xml:space="preserve">, World Vision Conservation Alliance, and </w:t>
      </w:r>
      <w:proofErr w:type="spellStart"/>
      <w:r w:rsidRPr="003F183D">
        <w:rPr>
          <w:rFonts w:cs="Calibri"/>
          <w:lang w:val="en-GB"/>
        </w:rPr>
        <w:t>Tropenbos</w:t>
      </w:r>
      <w:proofErr w:type="spellEnd"/>
      <w:r w:rsidRPr="003F183D">
        <w:rPr>
          <w:rFonts w:cs="Calibri"/>
          <w:lang w:val="en-GB"/>
        </w:rPr>
        <w:t xml:space="preserve"> Ghana. They provide education and training on environmental conservation, livelihood diversification, cocoa rehabilitation and climate smart initiatives. </w:t>
      </w:r>
    </w:p>
    <w:p w14:paraId="6AFBC825" w14:textId="77777777" w:rsidR="00B6577C" w:rsidRPr="003F183D" w:rsidRDefault="00B6577C" w:rsidP="003F183D">
      <w:pPr>
        <w:jc w:val="both"/>
        <w:rPr>
          <w:rFonts w:cs="Calibri"/>
          <w:lang w:val="en-GB"/>
        </w:rPr>
      </w:pPr>
    </w:p>
    <w:p w14:paraId="583A172B" w14:textId="77777777" w:rsidR="00B6577C" w:rsidRPr="003F183D" w:rsidRDefault="00B6577C" w:rsidP="003F183D">
      <w:pPr>
        <w:jc w:val="both"/>
        <w:rPr>
          <w:rFonts w:cs="Calibri"/>
          <w:lang w:val="en-GB"/>
        </w:rPr>
      </w:pPr>
      <w:r w:rsidRPr="003F183D">
        <w:rPr>
          <w:rFonts w:cs="Calibri"/>
          <w:lang w:val="en-GB"/>
        </w:rPr>
        <w:t xml:space="preserve">CBOs play vital roles in resource management including education, advocacy, mobilization, tree planting, etc. A farmer-constituted CBO called ‘Land Management Board’ has been constituted in the JB landscape but still is not very influential since it does not have legal backing for the activities of their members within the landscape. Community Resource Management Areas (CREMAs) also constitute an important CBO type but this far focus on protection and conservation actions, rather than sustainable resource use. Traditional authorities own and control access to land. They wield a lot of power and influence land use rights and access to lands. </w:t>
      </w:r>
    </w:p>
    <w:p w14:paraId="4797C3D5" w14:textId="77777777" w:rsidR="00B6577C" w:rsidRPr="003F183D" w:rsidRDefault="00B6577C" w:rsidP="003F183D">
      <w:pPr>
        <w:jc w:val="both"/>
        <w:rPr>
          <w:rFonts w:cs="Calibri"/>
          <w:lang w:val="en-GB"/>
        </w:rPr>
      </w:pPr>
      <w:r w:rsidRPr="003F183D">
        <w:rPr>
          <w:rFonts w:cs="Calibri"/>
          <w:lang w:val="en-GB"/>
        </w:rPr>
        <w:t>In this landscape, the Multi-Stakeholder Platform and Community Resource Management Areas (CREMA) have an important role to play in the management of the forest resources in and around the Bia National Park (Protected area) and the other forest reserves. Existing CREMAs in the JB and SW landscape are going through capacity strengthening whiles new ones are being formed to support with the implementation of climate resilient interventions and land use planning processes.</w:t>
      </w:r>
    </w:p>
    <w:p w14:paraId="24409BD8" w14:textId="77777777" w:rsidR="00B6577C" w:rsidRPr="003F183D" w:rsidRDefault="00B6577C" w:rsidP="003F183D">
      <w:pPr>
        <w:jc w:val="both"/>
        <w:rPr>
          <w:rFonts w:cs="Calibri"/>
          <w:lang w:val="en-GB"/>
        </w:rPr>
      </w:pPr>
      <w:r w:rsidRPr="003F183D">
        <w:rPr>
          <w:rFonts w:cs="Calibri"/>
          <w:lang w:val="en-GB"/>
        </w:rPr>
        <w:t xml:space="preserve">The main structure for multi-stakeholder collaboration is the Hotspot Intervention Area Management Board (HIAMB). This board was initiated by a consortium of organisations, including </w:t>
      </w:r>
      <w:proofErr w:type="spellStart"/>
      <w:r w:rsidRPr="003F183D">
        <w:rPr>
          <w:rFonts w:cs="Calibri"/>
          <w:lang w:val="en-GB"/>
        </w:rPr>
        <w:t>Tropenbos</w:t>
      </w:r>
      <w:proofErr w:type="spellEnd"/>
      <w:r w:rsidRPr="003F183D">
        <w:rPr>
          <w:rFonts w:cs="Calibri"/>
          <w:lang w:val="en-GB"/>
        </w:rPr>
        <w:t xml:space="preserve"> Ghana. The board was established to support the idea of transforming the landscape into a climate resilient landscape by adopting and practising climate-smart cocoa production system, removing cocoa beans produced from deforested areas from the supply chain, practising landscape scale standards, restoring degraded areas and ultimately reducing carbon emissions for result based payment. The landscape management board consists of all relevant stakeholders in the landscape, such as smallholders’ farmers and community representatives, traditional authorities, government actors, </w:t>
      </w:r>
      <w:r w:rsidRPr="003F183D">
        <w:rPr>
          <w:rFonts w:cs="Calibri"/>
          <w:lang w:val="en-GB"/>
        </w:rPr>
        <w:lastRenderedPageBreak/>
        <w:t>companies and civil society organisations.  This HIA Management Board is built on existing structures for collaboration in the landscape, for example the community-based organisations that are already collectively managing their natural resources (CREMA). The landscape management board has been constituted and functioning and playing it expected role. The board is facilitated by its chairperson with support from the consortium partners. Each stakeholder at the board level represent a constituent and there is the need to ensure feedback and broad stakeholder consultations and decision making at the grass-root level. The landscape management board serves as the multi-stakeholder platform for engagement in the entire landscape by CSOs.</w:t>
      </w:r>
    </w:p>
    <w:p w14:paraId="5DA782A9" w14:textId="77777777" w:rsidR="00B6577C" w:rsidRPr="003F183D" w:rsidRDefault="00B6577C" w:rsidP="003F183D">
      <w:pPr>
        <w:jc w:val="both"/>
        <w:rPr>
          <w:rFonts w:cs="Calibri"/>
          <w:lang w:val="en-GB"/>
        </w:rPr>
      </w:pPr>
    </w:p>
    <w:p w14:paraId="7E4C7B63" w14:textId="77777777" w:rsidR="00F6756E" w:rsidRDefault="00F6756E" w:rsidP="003F183D">
      <w:pPr>
        <w:pStyle w:val="Kop2"/>
      </w:pPr>
      <w:r>
        <w:t>Gender and youth analysis</w:t>
      </w:r>
    </w:p>
    <w:p w14:paraId="1A93477B" w14:textId="77777777" w:rsidR="008E1239" w:rsidRPr="003F183D" w:rsidRDefault="008E1239" w:rsidP="003F183D">
      <w:pPr>
        <w:pStyle w:val="Kop2"/>
      </w:pPr>
      <w:r w:rsidRPr="003F183D">
        <w:t>Land Rights, Access and Ownership in Ghana</w:t>
      </w:r>
    </w:p>
    <w:p w14:paraId="1F2A09B6" w14:textId="77777777" w:rsidR="008E1239" w:rsidRPr="001F3791" w:rsidRDefault="008E1239" w:rsidP="008E1239">
      <w:pPr>
        <w:jc w:val="both"/>
        <w:rPr>
          <w:rFonts w:cs="Calibri"/>
          <w:lang w:val="en-GB"/>
        </w:rPr>
      </w:pPr>
      <w:r>
        <w:rPr>
          <w:rFonts w:cs="Calibri"/>
          <w:lang w:val="en-GB"/>
        </w:rPr>
        <w:t>W</w:t>
      </w:r>
      <w:r w:rsidRPr="001F3791">
        <w:rPr>
          <w:rFonts w:cs="Calibri"/>
          <w:lang w:val="en-GB"/>
        </w:rPr>
        <w:t>omen’s rights to own and inherit land are legally mandated through various provisions and laws. However, despite these legal protections, women and other vulnerable groups still face major barriers to accessing and owning land in many parts of the country. About 80% of the land in Ghana is classified as customary land and is therefore under traditional control that assigns greater control over land to men. While 40% of agricultural land in rural Ghana is cultivated by women</w:t>
      </w:r>
      <w:r>
        <w:rPr>
          <w:rFonts w:cs="Calibri"/>
          <w:lang w:val="en-GB"/>
        </w:rPr>
        <w:t xml:space="preserve">, </w:t>
      </w:r>
      <w:r w:rsidRPr="001F3791">
        <w:rPr>
          <w:rFonts w:cs="Calibri"/>
          <w:lang w:val="en-GB"/>
        </w:rPr>
        <w:t>play</w:t>
      </w:r>
      <w:r>
        <w:rPr>
          <w:rFonts w:cs="Calibri"/>
          <w:lang w:val="en-GB"/>
        </w:rPr>
        <w:t>ing</w:t>
      </w:r>
      <w:r w:rsidRPr="001F3791">
        <w:rPr>
          <w:rFonts w:cs="Calibri"/>
          <w:lang w:val="en-GB"/>
        </w:rPr>
        <w:t xml:space="preserve"> a primary role in household food security, their land rights are limited by patriarchal norms in these customary systems. Additionally, women’s control of land is further limited by marital status, gendered division of labour and access to monetary capital</w:t>
      </w:r>
      <w:r>
        <w:rPr>
          <w:rFonts w:cs="Calibri"/>
          <w:lang w:val="en-GB"/>
        </w:rPr>
        <w:t>.</w:t>
      </w:r>
      <w:r w:rsidRPr="001F3791">
        <w:rPr>
          <w:rFonts w:cs="Calibri"/>
          <w:lang w:val="en-GB"/>
        </w:rPr>
        <w:t xml:space="preserve"> Ghana has both patrilineal and matrilineal systems when it comes to land access and inheritance. </w:t>
      </w:r>
      <w:r>
        <w:rPr>
          <w:rFonts w:cs="Calibri"/>
          <w:lang w:val="en-GB"/>
        </w:rPr>
        <w:t>But b</w:t>
      </w:r>
      <w:r w:rsidRPr="001F3791">
        <w:rPr>
          <w:rFonts w:cs="Calibri"/>
          <w:lang w:val="en-GB"/>
        </w:rPr>
        <w:t xml:space="preserve">oth systems consider land to belong in the lineage </w:t>
      </w:r>
      <w:r>
        <w:rPr>
          <w:rFonts w:cs="Calibri"/>
          <w:lang w:val="en-GB"/>
        </w:rPr>
        <w:t>to men (in matriarchal systems through maternal uncles) in which</w:t>
      </w:r>
      <w:r w:rsidRPr="001F3791">
        <w:rPr>
          <w:rFonts w:cs="Calibri"/>
          <w:lang w:val="en-GB"/>
        </w:rPr>
        <w:t xml:space="preserve"> male heads of households typically retain permanent use rights to land and women access land through male relatives</w:t>
      </w:r>
      <w:r>
        <w:rPr>
          <w:rFonts w:cs="Calibri"/>
          <w:lang w:val="en-GB"/>
        </w:rPr>
        <w:t>. So</w:t>
      </w:r>
      <w:r w:rsidRPr="001F3791">
        <w:rPr>
          <w:rFonts w:cs="Calibri"/>
          <w:lang w:val="en-GB"/>
        </w:rPr>
        <w:t xml:space="preserve">, women’s rights are still considered secondary to the primary rights of the male relative. Women are also less likely to exercise independent control over the land they farm and often do not retain control over the resources they produce. In many customary land tenure systems, community-level governance bodies that have authority over land are </w:t>
      </w:r>
      <w:r>
        <w:rPr>
          <w:rFonts w:cs="Calibri"/>
          <w:lang w:val="en-GB"/>
        </w:rPr>
        <w:t>composed</w:t>
      </w:r>
      <w:r w:rsidRPr="001F3791">
        <w:rPr>
          <w:rFonts w:cs="Calibri"/>
          <w:lang w:val="en-GB"/>
        </w:rPr>
        <w:t xml:space="preserve"> of traditional leaders and family heads and virtually exclude women from participating. Plots of land that are allocated to women tend to be smaller and less productive than the land managed by male relatives, impacting their overall yield and constraining their productivity</w:t>
      </w:r>
      <w:r>
        <w:rPr>
          <w:rFonts w:cs="Calibri"/>
          <w:lang w:val="en-GB"/>
        </w:rPr>
        <w:t>.</w:t>
      </w:r>
    </w:p>
    <w:p w14:paraId="2AC33E4B" w14:textId="77777777" w:rsidR="008E1239" w:rsidRPr="003F183D" w:rsidRDefault="008E1239" w:rsidP="003F183D">
      <w:pPr>
        <w:pStyle w:val="Kop2"/>
      </w:pPr>
      <w:r w:rsidRPr="003F183D">
        <w:t>Landscape Level Situation (</w:t>
      </w:r>
      <w:proofErr w:type="spellStart"/>
      <w:r w:rsidRPr="003F183D">
        <w:t>Juabeso</w:t>
      </w:r>
      <w:proofErr w:type="spellEnd"/>
      <w:r w:rsidRPr="003F183D">
        <w:t xml:space="preserve">/Bia and </w:t>
      </w:r>
      <w:proofErr w:type="spellStart"/>
      <w:r w:rsidRPr="003F183D">
        <w:t>Sefwi</w:t>
      </w:r>
      <w:proofErr w:type="spellEnd"/>
      <w:r w:rsidRPr="003F183D">
        <w:t xml:space="preserve"> </w:t>
      </w:r>
      <w:proofErr w:type="spellStart"/>
      <w:r w:rsidRPr="003F183D">
        <w:t>Wiawso</w:t>
      </w:r>
      <w:proofErr w:type="spellEnd"/>
      <w:r w:rsidRPr="003F183D">
        <w:t>)</w:t>
      </w:r>
    </w:p>
    <w:p w14:paraId="1F399F69" w14:textId="77777777" w:rsidR="008E1239" w:rsidRPr="003F183D" w:rsidRDefault="008E1239" w:rsidP="008E1239">
      <w:pPr>
        <w:jc w:val="both"/>
        <w:rPr>
          <w:rFonts w:cs="Calibri"/>
          <w:lang w:val="en-GB"/>
        </w:rPr>
      </w:pPr>
      <w:r w:rsidRPr="003F183D">
        <w:rPr>
          <w:rFonts w:cs="Calibri"/>
          <w:lang w:val="en-GB"/>
        </w:rPr>
        <w:t xml:space="preserve">TBG conducted a participatory gender and age disaggregated analysis in five communities within the landscape: </w:t>
      </w:r>
      <w:proofErr w:type="spellStart"/>
      <w:r w:rsidRPr="003F183D">
        <w:rPr>
          <w:rFonts w:cs="Calibri"/>
          <w:lang w:val="en-GB"/>
        </w:rPr>
        <w:t>Kramokrom</w:t>
      </w:r>
      <w:proofErr w:type="spellEnd"/>
      <w:r w:rsidRPr="003F183D">
        <w:rPr>
          <w:rFonts w:cs="Calibri"/>
          <w:lang w:val="en-GB"/>
        </w:rPr>
        <w:t xml:space="preserve">, </w:t>
      </w:r>
      <w:proofErr w:type="spellStart"/>
      <w:r w:rsidRPr="003F183D">
        <w:rPr>
          <w:rFonts w:cs="Calibri"/>
          <w:lang w:val="en-GB"/>
        </w:rPr>
        <w:t>Mansokrom</w:t>
      </w:r>
      <w:proofErr w:type="spellEnd"/>
      <w:r w:rsidRPr="003F183D">
        <w:rPr>
          <w:rFonts w:cs="Calibri"/>
          <w:lang w:val="en-GB"/>
        </w:rPr>
        <w:t xml:space="preserve">, </w:t>
      </w:r>
      <w:proofErr w:type="spellStart"/>
      <w:r w:rsidRPr="003F183D">
        <w:rPr>
          <w:rFonts w:cs="Calibri"/>
          <w:lang w:val="en-GB"/>
        </w:rPr>
        <w:t>Dansokrom</w:t>
      </w:r>
      <w:proofErr w:type="spellEnd"/>
      <w:r w:rsidRPr="003F183D">
        <w:rPr>
          <w:rFonts w:cs="Calibri"/>
          <w:lang w:val="en-GB"/>
        </w:rPr>
        <w:t xml:space="preserve">, </w:t>
      </w:r>
      <w:proofErr w:type="spellStart"/>
      <w:r w:rsidRPr="003F183D">
        <w:rPr>
          <w:rFonts w:cs="Calibri"/>
          <w:lang w:val="en-GB"/>
        </w:rPr>
        <w:t>Kroboman</w:t>
      </w:r>
      <w:proofErr w:type="spellEnd"/>
      <w:r w:rsidRPr="003F183D">
        <w:rPr>
          <w:rFonts w:cs="Calibri"/>
          <w:lang w:val="en-GB"/>
        </w:rPr>
        <w:t xml:space="preserve">, and </w:t>
      </w:r>
      <w:proofErr w:type="spellStart"/>
      <w:r w:rsidRPr="003F183D">
        <w:rPr>
          <w:rFonts w:cs="Calibri"/>
          <w:lang w:val="en-GB"/>
        </w:rPr>
        <w:t>Darkwakrom</w:t>
      </w:r>
      <w:proofErr w:type="spellEnd"/>
      <w:r w:rsidRPr="003F183D">
        <w:rPr>
          <w:rFonts w:cs="Calibri"/>
          <w:lang w:val="en-GB"/>
        </w:rPr>
        <w:t>.  The analysis focused on land tenure security, decision-making power, access to and control of assets, dependency and influence on the landscape, and specific interests and needs.</w:t>
      </w:r>
    </w:p>
    <w:p w14:paraId="00A542A9" w14:textId="77777777" w:rsidR="008E1239" w:rsidRPr="003F183D" w:rsidRDefault="008E1239" w:rsidP="008E1239">
      <w:pPr>
        <w:jc w:val="both"/>
        <w:rPr>
          <w:rFonts w:cs="Calibri"/>
          <w:lang w:val="en-GB"/>
        </w:rPr>
      </w:pPr>
      <w:r w:rsidRPr="003F183D">
        <w:rPr>
          <w:rFonts w:cs="Calibri"/>
          <w:lang w:val="en-GB"/>
        </w:rPr>
        <w:t xml:space="preserve">In general men are the head of the household, the owners of the resources and assets and the persons to determine main land uses. In most villages, with the exception of </w:t>
      </w:r>
      <w:proofErr w:type="spellStart"/>
      <w:r w:rsidRPr="003F183D">
        <w:rPr>
          <w:rFonts w:cs="Calibri"/>
          <w:lang w:val="en-GB"/>
        </w:rPr>
        <w:t>Mansokrom</w:t>
      </w:r>
      <w:proofErr w:type="spellEnd"/>
      <w:r w:rsidRPr="003F183D">
        <w:rPr>
          <w:rFonts w:cs="Calibri"/>
          <w:lang w:val="en-GB"/>
        </w:rPr>
        <w:t xml:space="preserve">, most men own land and finance is obtained from the produce of cocoa. The family heads (mostly men) also participate in village planning and decision-making processes. In </w:t>
      </w:r>
      <w:proofErr w:type="spellStart"/>
      <w:r w:rsidRPr="003F183D">
        <w:rPr>
          <w:rFonts w:cs="Calibri"/>
          <w:lang w:val="en-GB"/>
        </w:rPr>
        <w:t>Mansokrom</w:t>
      </w:r>
      <w:proofErr w:type="spellEnd"/>
      <w:r w:rsidRPr="003F183D">
        <w:rPr>
          <w:rFonts w:cs="Calibri"/>
          <w:lang w:val="en-GB"/>
        </w:rPr>
        <w:t xml:space="preserve"> village, they have little (legal) access to forest and financial resources because most of them farm on state lands (forest reserve). Men could benefit from building their capacity on climate smart land use practices and improved access to financial resources, </w:t>
      </w:r>
      <w:r w:rsidRPr="003F183D">
        <w:rPr>
          <w:rFonts w:cs="Calibri"/>
          <w:bCs/>
          <w:lang w:val="en-GB"/>
        </w:rPr>
        <w:t>new technologies and other resources</w:t>
      </w:r>
      <w:r w:rsidRPr="003F183D">
        <w:rPr>
          <w:rFonts w:cs="Calibri"/>
          <w:lang w:val="en-GB"/>
        </w:rPr>
        <w:t>.</w:t>
      </w:r>
    </w:p>
    <w:p w14:paraId="5EFAF3C2" w14:textId="77777777" w:rsidR="008E1239" w:rsidRPr="008A40BC" w:rsidRDefault="008E1239" w:rsidP="008E1239">
      <w:pPr>
        <w:jc w:val="both"/>
        <w:rPr>
          <w:rFonts w:cs="Calibri"/>
          <w:lang w:val="en-GB"/>
        </w:rPr>
      </w:pPr>
      <w:r w:rsidRPr="008E1239">
        <w:rPr>
          <w:rFonts w:cs="Calibri"/>
          <w:lang w:val="en-GB"/>
        </w:rPr>
        <w:t>As for the younger men, only few of them work on-farm. The</w:t>
      </w:r>
      <w:r w:rsidRPr="008A40BC">
        <w:rPr>
          <w:rFonts w:cs="Calibri"/>
          <w:lang w:val="en-GB"/>
        </w:rPr>
        <w:t xml:space="preserve"> majority of the young men are into schooling, teaching and buying &amp; selling of general goods. </w:t>
      </w:r>
      <w:r>
        <w:rPr>
          <w:rFonts w:cs="Calibri"/>
          <w:lang w:val="en-GB"/>
        </w:rPr>
        <w:t>As a result, t</w:t>
      </w:r>
      <w:r w:rsidRPr="008A40BC">
        <w:rPr>
          <w:rFonts w:cs="Calibri"/>
          <w:lang w:val="en-GB"/>
        </w:rPr>
        <w:t>hey are little involved in village planning and decision-making processes</w:t>
      </w:r>
      <w:r>
        <w:rPr>
          <w:rFonts w:cs="Calibri"/>
          <w:lang w:val="en-GB"/>
        </w:rPr>
        <w:t xml:space="preserve"> about land-use</w:t>
      </w:r>
      <w:r w:rsidRPr="008A40BC">
        <w:rPr>
          <w:rFonts w:cs="Calibri"/>
          <w:lang w:val="en-GB"/>
        </w:rPr>
        <w:t>.</w:t>
      </w:r>
      <w:r>
        <w:rPr>
          <w:rFonts w:cs="Calibri"/>
          <w:lang w:val="en-GB"/>
        </w:rPr>
        <w:t xml:space="preserve"> Younger men could benefit from more involvement in training, e.g. in climate smart practices, and public consultations, possibly by making use of social media.</w:t>
      </w:r>
    </w:p>
    <w:p w14:paraId="5C663351" w14:textId="77777777" w:rsidR="008E1239" w:rsidRPr="008A40BC" w:rsidRDefault="008E1239" w:rsidP="008E1239">
      <w:pPr>
        <w:jc w:val="both"/>
        <w:rPr>
          <w:rFonts w:cs="Calibri"/>
          <w:lang w:val="en-GB"/>
        </w:rPr>
      </w:pPr>
    </w:p>
    <w:p w14:paraId="57CB878F" w14:textId="77777777" w:rsidR="008E1239" w:rsidRPr="008E1239" w:rsidRDefault="008E1239" w:rsidP="008E1239">
      <w:pPr>
        <w:jc w:val="both"/>
        <w:rPr>
          <w:rFonts w:cs="Calibri"/>
          <w:lang w:val="en-GB"/>
        </w:rPr>
      </w:pPr>
      <w:r>
        <w:rPr>
          <w:rFonts w:cs="Calibri"/>
          <w:lang w:val="en-GB"/>
        </w:rPr>
        <w:lastRenderedPageBreak/>
        <w:t>W</w:t>
      </w:r>
      <w:r w:rsidRPr="008E1239">
        <w:rPr>
          <w:rFonts w:cs="Calibri"/>
          <w:lang w:val="en-GB"/>
        </w:rPr>
        <w:t xml:space="preserve">omen in the landscape may own land as a result of inheritance, but it does not happen often. They </w:t>
      </w:r>
      <w:r w:rsidRPr="008A40BC">
        <w:rPr>
          <w:rFonts w:cs="Calibri"/>
          <w:lang w:val="en-GB"/>
        </w:rPr>
        <w:t xml:space="preserve">usually support </w:t>
      </w:r>
      <w:r>
        <w:rPr>
          <w:rFonts w:cs="Calibri"/>
          <w:lang w:val="en-GB"/>
        </w:rPr>
        <w:t xml:space="preserve">in </w:t>
      </w:r>
      <w:r w:rsidRPr="008A40BC">
        <w:rPr>
          <w:rFonts w:cs="Calibri"/>
          <w:lang w:val="en-GB"/>
        </w:rPr>
        <w:t xml:space="preserve">cocoa farming but they are also into cultivation of rice, plantain, cassava, cocoyam, vegetables and some domestic poultry rearing. They are also engaged in petty trading of goods. </w:t>
      </w:r>
      <w:r>
        <w:rPr>
          <w:rFonts w:cs="Calibri"/>
          <w:lang w:val="en-GB"/>
        </w:rPr>
        <w:t>W</w:t>
      </w:r>
      <w:r w:rsidRPr="008A40BC">
        <w:rPr>
          <w:rFonts w:cs="Calibri"/>
          <w:lang w:val="en-GB"/>
        </w:rPr>
        <w:t xml:space="preserve">omen have </w:t>
      </w:r>
      <w:proofErr w:type="spellStart"/>
      <w:r w:rsidRPr="008A40BC">
        <w:rPr>
          <w:rFonts w:cs="Calibri"/>
          <w:lang w:val="en-GB"/>
        </w:rPr>
        <w:t>l</w:t>
      </w:r>
      <w:r w:rsidRPr="008E1239">
        <w:rPr>
          <w:rFonts w:cs="Calibri"/>
          <w:lang w:val="en-GB"/>
        </w:rPr>
        <w:t>limited</w:t>
      </w:r>
      <w:proofErr w:type="spellEnd"/>
      <w:r w:rsidRPr="008E1239">
        <w:rPr>
          <w:rFonts w:cs="Calibri"/>
          <w:lang w:val="en-GB"/>
        </w:rPr>
        <w:t xml:space="preserve"> access to extension services and training, in most cases, they will only participate in trainings if they are encouraged/persuaded by trainers and extension workers. They also have limited access to financial institutions – Credit Union, Local Banks, etc. – and they are rarely involved in public consultation or discussion that relate to land</w:t>
      </w:r>
      <w:r w:rsidRPr="008A40BC">
        <w:rPr>
          <w:rFonts w:cs="Calibri"/>
          <w:lang w:val="en-GB"/>
        </w:rPr>
        <w:t xml:space="preserve"> </w:t>
      </w:r>
      <w:r w:rsidRPr="008E1239">
        <w:rPr>
          <w:rFonts w:cs="Calibri"/>
          <w:lang w:val="en-GB"/>
        </w:rPr>
        <w:t xml:space="preserve">use decision-making. Their daily activities depend to a large extent on the landscape and natural resources. The position of women is very much determined by social and cultural norms and values. </w:t>
      </w:r>
    </w:p>
    <w:p w14:paraId="361C70B0" w14:textId="77777777" w:rsidR="008E1239" w:rsidRPr="008E1239" w:rsidRDefault="008E1239" w:rsidP="008E1239">
      <w:pPr>
        <w:jc w:val="both"/>
        <w:rPr>
          <w:rFonts w:cs="Calibri"/>
          <w:lang w:val="en-GB"/>
        </w:rPr>
      </w:pPr>
      <w:r w:rsidRPr="008E1239">
        <w:rPr>
          <w:rFonts w:cs="Calibri"/>
          <w:lang w:val="en-GB"/>
        </w:rPr>
        <w:t>Some female-farmers (</w:t>
      </w:r>
      <w:r w:rsidRPr="008A40BC">
        <w:rPr>
          <w:rFonts w:cs="Calibri"/>
          <w:lang w:val="en-GB"/>
        </w:rPr>
        <w:t>Rice farmers, Cocoa farmers</w:t>
      </w:r>
      <w:r w:rsidRPr="008E1239">
        <w:rPr>
          <w:rFonts w:cs="Calibri"/>
          <w:lang w:val="en-GB"/>
        </w:rPr>
        <w:t>) make groups (Ebenezer Women’s Group) and ask for financial and technical support from the</w:t>
      </w:r>
      <w:r w:rsidRPr="008A40BC">
        <w:rPr>
          <w:rFonts w:cs="Calibri"/>
          <w:lang w:val="en-GB"/>
        </w:rPr>
        <w:t xml:space="preserve"> </w:t>
      </w:r>
      <w:r w:rsidRPr="008E1239">
        <w:rPr>
          <w:rFonts w:cs="Calibri"/>
          <w:lang w:val="en-GB"/>
        </w:rPr>
        <w:t>government, but in reality this access remains limited due to lack of financial literacy and security. Women groups still have low influence on decision-making, although they have a bit more influence as a group than individually. Women could benefit from access to technical support and training, e.g. in financial literacy, entrepreneurship, and on climate smart practices, and other capacity strengthening activities, if needed by designing separate trainings for men and women. They could also benefit from increased access to public discussion and consultations and more involvement in land use decision making, as well as improved land security, access to new technologies, financial and other resources to ensure a competitive income.</w:t>
      </w:r>
    </w:p>
    <w:p w14:paraId="7C1BCD73" w14:textId="77777777" w:rsidR="008E1239" w:rsidRPr="008E1239" w:rsidRDefault="008E1239" w:rsidP="008E1239">
      <w:pPr>
        <w:jc w:val="both"/>
        <w:rPr>
          <w:rFonts w:cs="Calibri"/>
          <w:lang w:val="en-GB"/>
        </w:rPr>
      </w:pPr>
    </w:p>
    <w:p w14:paraId="51A5B9D9" w14:textId="77777777" w:rsidR="008E1239" w:rsidRPr="008E1239" w:rsidRDefault="008E1239" w:rsidP="008E1239">
      <w:pPr>
        <w:jc w:val="both"/>
        <w:rPr>
          <w:rFonts w:cs="Calibri"/>
          <w:lang w:val="en-GB"/>
        </w:rPr>
      </w:pPr>
      <w:r w:rsidRPr="008E1239">
        <w:rPr>
          <w:rFonts w:cs="Calibri"/>
          <w:lang w:val="en-GB"/>
        </w:rPr>
        <w:t>Younger or single women in the five villages usually</w:t>
      </w:r>
      <w:r w:rsidRPr="008A40BC">
        <w:rPr>
          <w:rFonts w:cs="Calibri"/>
          <w:lang w:val="en-GB"/>
        </w:rPr>
        <w:t xml:space="preserve"> are involved in schooling, teaching and petty trading</w:t>
      </w:r>
      <w:r>
        <w:rPr>
          <w:rFonts w:cs="Calibri"/>
          <w:lang w:val="en-GB"/>
        </w:rPr>
        <w:t>, and domestic activities</w:t>
      </w:r>
      <w:r w:rsidRPr="008A40BC">
        <w:rPr>
          <w:rFonts w:cs="Calibri"/>
          <w:lang w:val="en-GB"/>
        </w:rPr>
        <w:t xml:space="preserve">. In most cases, they </w:t>
      </w:r>
      <w:r>
        <w:rPr>
          <w:rFonts w:cs="Calibri"/>
          <w:lang w:val="en-GB"/>
        </w:rPr>
        <w:t xml:space="preserve">also </w:t>
      </w:r>
      <w:r w:rsidRPr="008A40BC">
        <w:rPr>
          <w:rFonts w:cs="Calibri"/>
          <w:lang w:val="en-GB"/>
        </w:rPr>
        <w:t xml:space="preserve">support their families in the cocoa farming activities. </w:t>
      </w:r>
      <w:r>
        <w:rPr>
          <w:rFonts w:cs="Calibri"/>
          <w:lang w:val="en-GB"/>
        </w:rPr>
        <w:t>They have limited or no access to financial or other resources, and do not participate in decision making processes on land use. Younger women could benefit from more involvement in training, e.g. in climate smart practices, and public consultations on land use. However, ways should be found not to burden them too much extra because of the time they need for other (e.g. domestic) activities.</w:t>
      </w:r>
    </w:p>
    <w:p w14:paraId="5DD7AA73" w14:textId="77777777" w:rsidR="008E1239" w:rsidRPr="008E1239" w:rsidRDefault="008E1239" w:rsidP="008E1239">
      <w:pPr>
        <w:jc w:val="both"/>
        <w:rPr>
          <w:rFonts w:cs="Calibri"/>
          <w:lang w:val="en-GB"/>
        </w:rPr>
      </w:pPr>
      <w:r w:rsidRPr="008E1239">
        <w:rPr>
          <w:rFonts w:cs="Calibri"/>
          <w:lang w:val="en-GB"/>
        </w:rPr>
        <w:t xml:space="preserve">Young men and women (Youth in Cocoa, 60% men and 40% women) also form farmer groups aiming to achieve more access to finance and other resources. However, since much of the land they occupy lies in state forest areas, land tenure is still insecure, limiting their access to finance. They have moderate access to extension services, training, finance and markets. But as a group they have more influence on land use decision-making processes. </w:t>
      </w:r>
    </w:p>
    <w:p w14:paraId="35B2D7D8" w14:textId="77777777" w:rsidR="008E1239" w:rsidRPr="008E1239" w:rsidRDefault="008E1239" w:rsidP="008E1239">
      <w:pPr>
        <w:jc w:val="both"/>
        <w:rPr>
          <w:rFonts w:cs="Calibri"/>
          <w:lang w:val="en-GB"/>
        </w:rPr>
      </w:pPr>
    </w:p>
    <w:p w14:paraId="290F39AF" w14:textId="77777777" w:rsidR="008E1239" w:rsidRPr="008E1239" w:rsidRDefault="008E1239" w:rsidP="008E1239">
      <w:pPr>
        <w:jc w:val="both"/>
        <w:rPr>
          <w:rFonts w:cs="Calibri"/>
          <w:lang w:val="en-GB"/>
        </w:rPr>
      </w:pPr>
      <w:r w:rsidRPr="008E1239">
        <w:rPr>
          <w:rFonts w:cs="Calibri"/>
          <w:lang w:val="en-GB"/>
        </w:rPr>
        <w:t xml:space="preserve">Due to their different roles within the landscape, it is likely that men and women, young and old, will have different vulnerabilities to climate change and different effects on biodiversity and livelihoods. </w:t>
      </w:r>
    </w:p>
    <w:p w14:paraId="4824BB9A" w14:textId="77777777" w:rsidR="008E1239" w:rsidRPr="008E1239" w:rsidRDefault="008E1239" w:rsidP="008E1239">
      <w:pPr>
        <w:jc w:val="both"/>
        <w:rPr>
          <w:rFonts w:cs="Calibri"/>
          <w:lang w:val="en-GB"/>
        </w:rPr>
      </w:pPr>
    </w:p>
    <w:p w14:paraId="443DD24B" w14:textId="77777777" w:rsidR="008E1239" w:rsidRPr="008E1239" w:rsidRDefault="008E1239" w:rsidP="008E1239">
      <w:pPr>
        <w:jc w:val="both"/>
        <w:rPr>
          <w:rFonts w:cs="Calibri"/>
          <w:lang w:val="en-GB"/>
        </w:rPr>
      </w:pPr>
      <w:r w:rsidRPr="008E1239">
        <w:rPr>
          <w:rFonts w:cs="Calibri"/>
          <w:lang w:val="en-GB"/>
        </w:rPr>
        <w:t>The results of the analysis are shown in the spider diagram below:</w:t>
      </w:r>
    </w:p>
    <w:p w14:paraId="12B96ECD" w14:textId="04C2A791" w:rsidR="008E1239" w:rsidRDefault="008E1239" w:rsidP="008E1239">
      <w:pPr>
        <w:jc w:val="both"/>
        <w:rPr>
          <w:lang w:val="en-GB"/>
        </w:rPr>
      </w:pPr>
      <w:r w:rsidRPr="004232D0">
        <w:rPr>
          <w:noProof/>
          <w:lang w:eastAsia="nl-NL"/>
        </w:rPr>
        <w:lastRenderedPageBreak/>
        <w:drawing>
          <wp:inline distT="0" distB="0" distL="0" distR="0" wp14:anchorId="1BD6CD6B" wp14:editId="425C5EA9">
            <wp:extent cx="5648325" cy="3352800"/>
            <wp:effectExtent l="0" t="0" r="9525" b="0"/>
            <wp:docPr id="4" name="Grafiek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DC62FF" w14:textId="77777777" w:rsidR="008E1239" w:rsidRDefault="008E1239" w:rsidP="008E1239">
      <w:pPr>
        <w:jc w:val="both"/>
        <w:rPr>
          <w:lang w:val="en-GB"/>
        </w:rPr>
      </w:pPr>
    </w:p>
    <w:p w14:paraId="17CEB724" w14:textId="77777777" w:rsidR="008E1239" w:rsidRPr="008E1239" w:rsidRDefault="008E1239" w:rsidP="008E1239">
      <w:pPr>
        <w:jc w:val="both"/>
        <w:rPr>
          <w:rFonts w:cs="Calibri"/>
          <w:color w:val="2D2D2D"/>
          <w:lang w:val="en-GB"/>
        </w:rPr>
      </w:pPr>
      <w:r>
        <w:rPr>
          <w:lang w:val="en-GB"/>
        </w:rPr>
        <w:t>The ambitions of TBG for the MoMo4C programme, based on this gender and youth analysis can be summarised as follows:</w:t>
      </w:r>
    </w:p>
    <w:p w14:paraId="7054A622" w14:textId="77777777" w:rsidR="008E1239" w:rsidRPr="008E1239" w:rsidRDefault="008E1239" w:rsidP="008E1239">
      <w:pPr>
        <w:numPr>
          <w:ilvl w:val="0"/>
          <w:numId w:val="14"/>
        </w:numPr>
        <w:jc w:val="both"/>
        <w:rPr>
          <w:rFonts w:cs="Calibri"/>
          <w:lang w:val="en-GB"/>
        </w:rPr>
      </w:pPr>
      <w:r w:rsidRPr="008E1239">
        <w:rPr>
          <w:rFonts w:cs="Calibri"/>
          <w:lang w:val="en-GB"/>
        </w:rPr>
        <w:t xml:space="preserve">Take action to reduce barriers for women and youth (F/M), and strengthen the position of women and youth F/M in more land (access &amp; tenure) security, access to training and (financial and other) resources, and participation in decision making processes. </w:t>
      </w:r>
    </w:p>
    <w:p w14:paraId="7A76602F" w14:textId="77777777" w:rsidR="008E1239" w:rsidRPr="008E1239" w:rsidRDefault="008E1239" w:rsidP="008E1239">
      <w:pPr>
        <w:numPr>
          <w:ilvl w:val="0"/>
          <w:numId w:val="14"/>
        </w:numPr>
        <w:jc w:val="both"/>
        <w:rPr>
          <w:rFonts w:cs="Calibri"/>
          <w:lang w:val="en-GB"/>
        </w:rPr>
      </w:pPr>
      <w:r w:rsidRPr="008E1239">
        <w:rPr>
          <w:rFonts w:cs="Calibri"/>
          <w:lang w:val="en-GB"/>
        </w:rPr>
        <w:t>Improve women and youth F/M capacity to represent themselves and participate in multi-stakeholder processes and platforms for inclusive decision-making.</w:t>
      </w:r>
    </w:p>
    <w:p w14:paraId="2A54D267" w14:textId="77777777" w:rsidR="008E1239" w:rsidRPr="008E1239" w:rsidRDefault="008E1239" w:rsidP="008E1239">
      <w:pPr>
        <w:numPr>
          <w:ilvl w:val="0"/>
          <w:numId w:val="14"/>
        </w:numPr>
        <w:jc w:val="both"/>
        <w:rPr>
          <w:rFonts w:cs="Calibri"/>
          <w:lang w:val="en-GB"/>
        </w:rPr>
      </w:pPr>
      <w:r w:rsidRPr="008E1239">
        <w:rPr>
          <w:rFonts w:cs="Calibri"/>
          <w:lang w:val="en-GB"/>
        </w:rPr>
        <w:t>Improve men’s, women’s and youth’s (F/M) understanding of climate change impact, their specific vulnerabilities and possible climate resilient actions towards adaptation and mitigation for improve livelihoods.</w:t>
      </w:r>
    </w:p>
    <w:p w14:paraId="13187F7B" w14:textId="77777777" w:rsidR="008E1239" w:rsidRPr="008E1239" w:rsidRDefault="008E1239" w:rsidP="008E1239">
      <w:pPr>
        <w:numPr>
          <w:ilvl w:val="0"/>
          <w:numId w:val="14"/>
        </w:numPr>
        <w:jc w:val="both"/>
        <w:rPr>
          <w:rFonts w:cs="Calibri"/>
          <w:lang w:val="en-GB"/>
        </w:rPr>
      </w:pPr>
      <w:r w:rsidRPr="008E1239">
        <w:rPr>
          <w:rFonts w:cs="Calibri"/>
          <w:lang w:val="en-GB"/>
        </w:rPr>
        <w:t>Strengthen the capacity of women and youth (F/M) in financial literacy, entrepreneurship, green-business opportunities and possible investments in their landscape.</w:t>
      </w:r>
    </w:p>
    <w:p w14:paraId="2DDF3ECB" w14:textId="77777777" w:rsidR="008E1239" w:rsidRPr="008E1239" w:rsidRDefault="008E1239" w:rsidP="008E1239">
      <w:pPr>
        <w:numPr>
          <w:ilvl w:val="0"/>
          <w:numId w:val="14"/>
        </w:numPr>
        <w:jc w:val="both"/>
        <w:rPr>
          <w:rFonts w:cs="Calibri"/>
          <w:lang w:val="en-GB"/>
        </w:rPr>
      </w:pPr>
      <w:r w:rsidRPr="008E1239">
        <w:rPr>
          <w:rFonts w:cs="Calibri"/>
          <w:lang w:val="en-GB"/>
        </w:rPr>
        <w:t>Develop criteria for business proposals that, beside climate ‘smartness’, include criteria for gender and youth responsiveness, inclusiveness, and equality (gender &amp; youth ‘smartness’).</w:t>
      </w:r>
    </w:p>
    <w:p w14:paraId="6878B28F" w14:textId="77777777" w:rsidR="008E1239" w:rsidRPr="008E1239" w:rsidRDefault="008E1239" w:rsidP="008E1239">
      <w:pPr>
        <w:numPr>
          <w:ilvl w:val="0"/>
          <w:numId w:val="14"/>
        </w:numPr>
        <w:jc w:val="both"/>
        <w:rPr>
          <w:rFonts w:cs="Calibri"/>
          <w:lang w:val="en-GB"/>
        </w:rPr>
      </w:pPr>
      <w:r>
        <w:rPr>
          <w:lang w:val="en-GB"/>
        </w:rPr>
        <w:t>All off the above is meant to support women and youth groups in improving their ability to develop climate resilient business proposals and ensure an appropriate balance between men, women, and youth F/M in the pool of award winners.</w:t>
      </w:r>
    </w:p>
    <w:p w14:paraId="51A76AEE" w14:textId="0C405A59" w:rsidR="00B6577C" w:rsidRPr="008E1239" w:rsidRDefault="00B6577C" w:rsidP="00B6577C">
      <w:pPr>
        <w:spacing w:line="240" w:lineRule="auto"/>
        <w:jc w:val="both"/>
        <w:rPr>
          <w:lang w:val="en-GB"/>
        </w:rPr>
      </w:pPr>
    </w:p>
    <w:p w14:paraId="1EBE064D" w14:textId="77777777" w:rsidR="00F6756E" w:rsidRDefault="0046295E" w:rsidP="003F183D">
      <w:pPr>
        <w:pStyle w:val="Kop2"/>
      </w:pPr>
      <w:r>
        <w:t>Landscape g</w:t>
      </w:r>
      <w:r w:rsidR="00F6756E">
        <w:t>overnance, economics and policy analysis</w:t>
      </w:r>
    </w:p>
    <w:p w14:paraId="7B0489A4" w14:textId="77777777" w:rsidR="005B0FBC" w:rsidRPr="003F183D" w:rsidRDefault="005B0FBC" w:rsidP="003F183D">
      <w:pPr>
        <w:jc w:val="both"/>
        <w:rPr>
          <w:rFonts w:cs="Calibri"/>
          <w:u w:val="single"/>
          <w:lang w:val="en-GB"/>
        </w:rPr>
      </w:pPr>
      <w:r w:rsidRPr="003F183D">
        <w:rPr>
          <w:rFonts w:cs="Calibri"/>
          <w:u w:val="single"/>
          <w:lang w:val="en-GB"/>
        </w:rPr>
        <w:t>Governance issues</w:t>
      </w:r>
    </w:p>
    <w:p w14:paraId="78215854" w14:textId="77777777" w:rsidR="005B0FBC" w:rsidRPr="003F183D" w:rsidRDefault="005B0FBC" w:rsidP="003F183D">
      <w:pPr>
        <w:jc w:val="both"/>
        <w:rPr>
          <w:rFonts w:cs="Calibri"/>
          <w:lang w:val="en-GB"/>
        </w:rPr>
      </w:pPr>
      <w:r w:rsidRPr="003F183D">
        <w:rPr>
          <w:rFonts w:cs="Calibri"/>
          <w:lang w:val="en-GB"/>
        </w:rPr>
        <w:t xml:space="preserve">Inclusive decision-making issues regarding decision making are similar across different communities in the JB and SW landscape. Generally, in male-headed households, men take the key decisions on issues concerning the household including farming at the household level in consultation with their wives. Decision making concerning farm management depends on who controls or own the farm. Usually farm owners are responsible for the management </w:t>
      </w:r>
      <w:r w:rsidRPr="003F183D">
        <w:rPr>
          <w:rFonts w:cs="Calibri"/>
          <w:lang w:val="en-GB"/>
        </w:rPr>
        <w:lastRenderedPageBreak/>
        <w:t xml:space="preserve">of their own farms. Women mostly support their husbands in the cultivation of cocoa and in other farming activities and are consulted in farm management decisions. For gender specific roles, women dominate most of the household level activities whiles men dominate strenuous farm level activities. However, some farm level activities are shared by both men and women. </w:t>
      </w:r>
    </w:p>
    <w:p w14:paraId="3246832E" w14:textId="77777777" w:rsidR="005B0FBC" w:rsidRPr="003F183D" w:rsidRDefault="005B0FBC" w:rsidP="003F183D">
      <w:pPr>
        <w:jc w:val="both"/>
        <w:rPr>
          <w:rFonts w:cs="Calibri"/>
          <w:lang w:val="en-GB"/>
        </w:rPr>
      </w:pPr>
      <w:r w:rsidRPr="003F183D">
        <w:rPr>
          <w:rFonts w:cs="Calibri"/>
          <w:lang w:val="en-GB"/>
        </w:rPr>
        <w:t xml:space="preserve">The traditional governing system in the landscape is headed by the </w:t>
      </w:r>
      <w:proofErr w:type="spellStart"/>
      <w:r w:rsidRPr="003F183D">
        <w:rPr>
          <w:rFonts w:cs="Calibri"/>
          <w:lang w:val="en-GB"/>
        </w:rPr>
        <w:t>Omanhene</w:t>
      </w:r>
      <w:proofErr w:type="spellEnd"/>
      <w:r w:rsidRPr="003F183D">
        <w:rPr>
          <w:rFonts w:cs="Calibri"/>
          <w:lang w:val="en-GB"/>
        </w:rPr>
        <w:t xml:space="preserve"> of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Wiawso</w:t>
      </w:r>
      <w:proofErr w:type="spellEnd"/>
      <w:r w:rsidRPr="003F183D">
        <w:rPr>
          <w:rFonts w:cs="Calibri"/>
          <w:lang w:val="en-GB"/>
        </w:rPr>
        <w:t xml:space="preserve"> supported by Divisional Chiefs and Sub-Chiefs (</w:t>
      </w:r>
      <w:proofErr w:type="spellStart"/>
      <w:r w:rsidRPr="003F183D">
        <w:rPr>
          <w:rFonts w:cs="Calibri"/>
          <w:lang w:val="en-GB"/>
        </w:rPr>
        <w:t>Odikros</w:t>
      </w:r>
      <w:proofErr w:type="spellEnd"/>
      <w:r w:rsidRPr="003F183D">
        <w:rPr>
          <w:rFonts w:cs="Calibri"/>
          <w:lang w:val="en-GB"/>
        </w:rPr>
        <w:t>) in communities and minor settlements respectively. At the community level, the chief and his elders as well as Unit committee members take key decisions concerning the community. Community members may be consulted for their opinions when necessary. At the various district levels within the landscape, the structures for enhancing governance and ensuring citizen participation in the development process include Traditional Authority and several other offices and departments of the districts. The traditional rulers play an indispensable role in the governance of each District and are considered as partners who are consulted in development activities in the district.</w:t>
      </w:r>
    </w:p>
    <w:p w14:paraId="56234E81" w14:textId="77777777" w:rsidR="005B0FBC" w:rsidRDefault="005B0FBC" w:rsidP="005B0FBC">
      <w:pPr>
        <w:spacing w:line="240" w:lineRule="auto"/>
        <w:jc w:val="both"/>
        <w:rPr>
          <w:u w:val="single"/>
          <w:lang w:val="en-GB"/>
        </w:rPr>
      </w:pPr>
    </w:p>
    <w:p w14:paraId="2387A00E" w14:textId="77777777" w:rsidR="005B0FBC" w:rsidRPr="003F183D" w:rsidRDefault="005B0FBC" w:rsidP="003F183D">
      <w:pPr>
        <w:jc w:val="both"/>
        <w:rPr>
          <w:rFonts w:cs="Calibri"/>
          <w:lang w:val="en-GB"/>
        </w:rPr>
      </w:pPr>
      <w:r w:rsidRPr="003F183D">
        <w:rPr>
          <w:rFonts w:cs="Calibri"/>
          <w:u w:val="single"/>
          <w:lang w:val="en-GB"/>
        </w:rPr>
        <w:t>Coordination</w:t>
      </w:r>
      <w:r w:rsidRPr="003F183D">
        <w:rPr>
          <w:rFonts w:cs="Calibri"/>
          <w:lang w:val="en-GB"/>
        </w:rPr>
        <w:t xml:space="preserve">: there is some coordination across the government agencies and sectors within the landscape. For instance, under the GCFRP, there appears to be some inter-sectoral and inter-ministerial coordination in decision making between FC and COCOBOD. </w:t>
      </w:r>
    </w:p>
    <w:p w14:paraId="2513EFDC" w14:textId="77777777" w:rsidR="005B0FBC" w:rsidRPr="003F183D" w:rsidRDefault="005B0FBC" w:rsidP="003F183D">
      <w:pPr>
        <w:jc w:val="both"/>
        <w:rPr>
          <w:rFonts w:cs="Calibri"/>
          <w:lang w:val="en-GB"/>
        </w:rPr>
      </w:pPr>
    </w:p>
    <w:p w14:paraId="08E59C4C" w14:textId="77777777" w:rsidR="005B0FBC" w:rsidRPr="003F183D" w:rsidRDefault="005B0FBC" w:rsidP="003F183D">
      <w:pPr>
        <w:jc w:val="both"/>
        <w:rPr>
          <w:rFonts w:cs="Calibri"/>
          <w:lang w:val="en-GB"/>
        </w:rPr>
      </w:pPr>
      <w:r w:rsidRPr="003F183D">
        <w:rPr>
          <w:rFonts w:cs="Calibri"/>
          <w:u w:val="single"/>
          <w:lang w:val="en-GB"/>
        </w:rPr>
        <w:t>Collaboration</w:t>
      </w:r>
      <w:r w:rsidRPr="003F183D">
        <w:rPr>
          <w:rFonts w:cs="Calibri"/>
          <w:lang w:val="en-GB"/>
        </w:rPr>
        <w:t>: there are several examples of collaboration between different stakeholders in the landscape. A number of communities in the landscape have collaborated with other stakeholders (e.g. CSOs) to create CREMAs.  Under the GCFRP, the HIA landscape is managed by an HIA Governance Body made up of local land-users, land owners and traditional authorities who organize themselves into a government recognized NRM structure, like that of the CREMA, which accords them the right to manage their natural resources for their benefit.</w:t>
      </w:r>
    </w:p>
    <w:p w14:paraId="6BA9CD20" w14:textId="77777777" w:rsidR="005B0FBC" w:rsidRPr="0063633D" w:rsidRDefault="005B0FBC" w:rsidP="005B0FBC">
      <w:pPr>
        <w:spacing w:line="240" w:lineRule="auto"/>
        <w:jc w:val="both"/>
        <w:rPr>
          <w:lang w:val="en-US"/>
        </w:rPr>
      </w:pPr>
    </w:p>
    <w:p w14:paraId="6C2F2355" w14:textId="77777777" w:rsidR="005B0FBC" w:rsidRPr="003F183D" w:rsidRDefault="005B0FBC" w:rsidP="003F183D">
      <w:pPr>
        <w:jc w:val="both"/>
        <w:rPr>
          <w:rFonts w:cs="Calibri"/>
          <w:lang w:val="en-GB"/>
        </w:rPr>
      </w:pPr>
      <w:r w:rsidRPr="003F183D">
        <w:rPr>
          <w:rFonts w:cs="Calibri"/>
          <w:lang w:val="en-GB"/>
        </w:rPr>
        <w:t>The key governance issues in the JB and SW landscape include:</w:t>
      </w:r>
    </w:p>
    <w:p w14:paraId="676B647E"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Lack of coordination and planning amongst implementing agencies, companies, organizations and governance bodies across the cocoa and forestry sectors, which has allowed institutions to work in contrast to one another.</w:t>
      </w:r>
    </w:p>
    <w:p w14:paraId="1DFB3647"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Farmers do not have secure access to land and trees</w:t>
      </w:r>
    </w:p>
    <w:p w14:paraId="495E08F9"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Existence of several individual CS initiatives that are uncoordinated to ensure climate smart landscape</w:t>
      </w:r>
    </w:p>
    <w:p w14:paraId="378B27BA"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Low level of participation of farmers including women and youth in climate smart decision making</w:t>
      </w:r>
    </w:p>
    <w:p w14:paraId="707FDA4B"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 xml:space="preserve">Lack of harmonization of sectoral policies and collaboration among various agencies in the natural resources sector </w:t>
      </w:r>
    </w:p>
    <w:p w14:paraId="73E65346" w14:textId="77777777" w:rsidR="005B0FBC" w:rsidRPr="003F183D" w:rsidRDefault="005B0FBC" w:rsidP="003F183D">
      <w:pPr>
        <w:pStyle w:val="Lijstalinea"/>
        <w:numPr>
          <w:ilvl w:val="0"/>
          <w:numId w:val="16"/>
        </w:numPr>
        <w:jc w:val="both"/>
        <w:rPr>
          <w:rFonts w:cs="Calibri"/>
          <w:lang w:val="en-GB"/>
        </w:rPr>
      </w:pPr>
      <w:r w:rsidRPr="003F183D">
        <w:rPr>
          <w:rFonts w:cs="Calibri"/>
          <w:lang w:val="en-GB"/>
        </w:rPr>
        <w:t>Weak enforcement of environmental and natural resources regulations</w:t>
      </w:r>
    </w:p>
    <w:p w14:paraId="712F1960" w14:textId="77777777" w:rsidR="003F183D" w:rsidRDefault="003F183D" w:rsidP="005B0FBC">
      <w:pPr>
        <w:pStyle w:val="Bold"/>
        <w:rPr>
          <w:lang w:val="en-US"/>
        </w:rPr>
      </w:pPr>
    </w:p>
    <w:p w14:paraId="66159126" w14:textId="72924A08" w:rsidR="005B0FBC" w:rsidRPr="003F183D" w:rsidRDefault="005B0FBC" w:rsidP="003F183D">
      <w:pPr>
        <w:jc w:val="both"/>
        <w:rPr>
          <w:rFonts w:cs="Calibri"/>
          <w:u w:val="single"/>
          <w:lang w:val="en-GB"/>
        </w:rPr>
      </w:pPr>
      <w:r w:rsidRPr="003F183D">
        <w:rPr>
          <w:rFonts w:cs="Calibri"/>
          <w:u w:val="single"/>
          <w:lang w:val="en-GB"/>
        </w:rPr>
        <w:t>Economics</w:t>
      </w:r>
    </w:p>
    <w:p w14:paraId="646E4E39" w14:textId="77777777" w:rsidR="005B0FBC" w:rsidRPr="003F183D" w:rsidRDefault="005B0FBC" w:rsidP="003F183D">
      <w:pPr>
        <w:jc w:val="both"/>
        <w:rPr>
          <w:rFonts w:cs="Calibri"/>
          <w:lang w:val="en-GB"/>
        </w:rPr>
      </w:pPr>
      <w:r w:rsidRPr="003F183D">
        <w:rPr>
          <w:rFonts w:cs="Calibri"/>
          <w:lang w:val="en-GB"/>
        </w:rPr>
        <w:t>The development agenda designed for this landscape is aimed at facilitating the improvement of the living standards of the people in the districts through increased access to basic services and the promotion of socio-economic development with effective grassroots participation in decision making. Development projections for 2014-2017 proposed to address several sectoral constraints to ultimately attain this goal have generally been designed in line with the thematic areas of the Ghana Shared Growth and Development Agenda (GSGDA II) (</w:t>
      </w:r>
      <w:proofErr w:type="spellStart"/>
      <w:r w:rsidRPr="003F183D">
        <w:rPr>
          <w:rFonts w:cs="Calibri"/>
          <w:lang w:val="en-GB"/>
        </w:rPr>
        <w:t>Juabeso</w:t>
      </w:r>
      <w:proofErr w:type="spellEnd"/>
      <w:r w:rsidRPr="003F183D">
        <w:rPr>
          <w:rFonts w:cs="Calibri"/>
          <w:lang w:val="en-GB"/>
        </w:rPr>
        <w:t xml:space="preserve"> District Assembly 2018).</w:t>
      </w:r>
    </w:p>
    <w:p w14:paraId="76BBBE5D" w14:textId="77777777" w:rsidR="005B0FBC" w:rsidRPr="003F183D" w:rsidRDefault="005B0FBC" w:rsidP="003F183D">
      <w:pPr>
        <w:jc w:val="both"/>
        <w:rPr>
          <w:rFonts w:cs="Calibri"/>
          <w:lang w:val="en-GB"/>
        </w:rPr>
      </w:pPr>
    </w:p>
    <w:p w14:paraId="1B82F7F0" w14:textId="77777777" w:rsidR="005B0FBC" w:rsidRPr="003F183D" w:rsidRDefault="005B0FBC" w:rsidP="003F183D">
      <w:pPr>
        <w:jc w:val="both"/>
        <w:rPr>
          <w:rFonts w:cs="Calibri"/>
          <w:lang w:val="en-GB"/>
        </w:rPr>
      </w:pPr>
      <w:r w:rsidRPr="003F183D">
        <w:rPr>
          <w:rFonts w:cs="Calibri"/>
          <w:lang w:val="en-GB"/>
        </w:rPr>
        <w:t xml:space="preserve">The focus areas for developing the agriculture and natural resource sectors for the medium-term development plan (MTDP)  period 2014-2017 in line with the program for Accelerated Agriculture Modernization and Sustainable Natural Resource Management under GSGDA II are broadly aimed at: </w:t>
      </w:r>
      <w:proofErr w:type="spellStart"/>
      <w:r w:rsidRPr="003F183D">
        <w:rPr>
          <w:rFonts w:cs="Calibri"/>
          <w:lang w:val="en-GB"/>
        </w:rPr>
        <w:t>i</w:t>
      </w:r>
      <w:proofErr w:type="spellEnd"/>
      <w:r w:rsidRPr="003F183D">
        <w:rPr>
          <w:rFonts w:cs="Calibri"/>
          <w:lang w:val="en-GB"/>
        </w:rPr>
        <w:t xml:space="preserve">) encouraging appropriate land use and </w:t>
      </w:r>
      <w:r w:rsidRPr="003F183D">
        <w:rPr>
          <w:rFonts w:cs="Calibri"/>
          <w:lang w:val="en-GB"/>
        </w:rPr>
        <w:lastRenderedPageBreak/>
        <w:t>management, ii) managing waste, reduce pollution and noise, iii) reversing forest and land degradation, iv) mitigating and reduce natural disasters and reduce risks and vulnerability, v) mitigating and adapting to the impacts and reduce vulnerability to climate variability and change.</w:t>
      </w:r>
    </w:p>
    <w:p w14:paraId="0A6E794C" w14:textId="77777777" w:rsidR="005B0FBC" w:rsidRPr="003F183D" w:rsidRDefault="005B0FBC" w:rsidP="003F183D">
      <w:pPr>
        <w:jc w:val="both"/>
        <w:rPr>
          <w:rFonts w:cs="Calibri"/>
          <w:lang w:val="en-GB"/>
        </w:rPr>
      </w:pPr>
    </w:p>
    <w:p w14:paraId="4B301A8C" w14:textId="77777777" w:rsidR="005B0FBC" w:rsidRPr="003F183D" w:rsidRDefault="005B0FBC" w:rsidP="003F183D">
      <w:pPr>
        <w:jc w:val="both"/>
        <w:rPr>
          <w:rFonts w:cs="Calibri"/>
          <w:lang w:val="en-GB"/>
        </w:rPr>
      </w:pPr>
      <w:r w:rsidRPr="003F183D">
        <w:rPr>
          <w:rFonts w:cs="Calibri"/>
          <w:lang w:val="en-GB"/>
        </w:rPr>
        <w:t xml:space="preserve">The specific strategies/activities aimed at addressing problems associated with natural resource sector including deforestation and forest degradation are: </w:t>
      </w:r>
      <w:proofErr w:type="spellStart"/>
      <w:r w:rsidRPr="003F183D">
        <w:rPr>
          <w:rFonts w:cs="Calibri"/>
          <w:lang w:val="en-GB"/>
        </w:rPr>
        <w:t>i</w:t>
      </w:r>
      <w:proofErr w:type="spellEnd"/>
      <w:r w:rsidRPr="003F183D">
        <w:rPr>
          <w:rFonts w:cs="Calibri"/>
          <w:lang w:val="en-GB"/>
        </w:rPr>
        <w:t xml:space="preserve">) Lands and forestry including a) encouraging reforestation of degraded forest and off-reserve areas through the Plantations Development and Afforestation </w:t>
      </w:r>
      <w:proofErr w:type="spellStart"/>
      <w:r w:rsidRPr="003F183D">
        <w:rPr>
          <w:rFonts w:cs="Calibri"/>
          <w:lang w:val="en-GB"/>
        </w:rPr>
        <w:t>programmes</w:t>
      </w:r>
      <w:proofErr w:type="spellEnd"/>
      <w:r w:rsidRPr="003F183D">
        <w:rPr>
          <w:rFonts w:cs="Calibri"/>
          <w:lang w:val="en-GB"/>
        </w:rPr>
        <w:t>, b) Encourage private investment in commercial forestry outside forest reserves and along dried-up and flowing streams and rivers, c) Promote plantation/woodlot development  among communities to meet the needs of society, d) improve the capacity and the operations on the small scale mining sector, and reduce illegal artisanal mining  (</w:t>
      </w:r>
      <w:proofErr w:type="spellStart"/>
      <w:r w:rsidRPr="003F183D">
        <w:rPr>
          <w:rFonts w:cs="Calibri"/>
          <w:lang w:val="en-GB"/>
        </w:rPr>
        <w:t>galamsey</w:t>
      </w:r>
      <w:proofErr w:type="spellEnd"/>
      <w:r w:rsidRPr="003F183D">
        <w:rPr>
          <w:rFonts w:cs="Calibri"/>
          <w:lang w:val="en-GB"/>
        </w:rPr>
        <w:t>), and e) improve support to small scale miners especially, those legally registered; ii) Climate variability and change including a) promote various mitigation options in the agricultural sector including education and efficient management practices, b) development and implementation of environmental sanitation strategies to adapt to climate change, c) manage water resources as a climate change adaptation strategy to enhance productivity and livelihoods, d) minimize climate change impacts on human health through improved access to healthcare.</w:t>
      </w:r>
    </w:p>
    <w:p w14:paraId="0F7740B5" w14:textId="77777777" w:rsidR="005B0FBC" w:rsidRPr="003F183D" w:rsidRDefault="005B0FBC" w:rsidP="003F183D">
      <w:pPr>
        <w:jc w:val="both"/>
        <w:rPr>
          <w:rFonts w:cs="Calibri"/>
          <w:lang w:val="en-GB"/>
        </w:rPr>
      </w:pPr>
    </w:p>
    <w:p w14:paraId="6CFA1D0B" w14:textId="77777777" w:rsidR="005B0FBC" w:rsidRPr="003F183D" w:rsidRDefault="005B0FBC" w:rsidP="003F183D">
      <w:pPr>
        <w:jc w:val="both"/>
        <w:rPr>
          <w:rFonts w:cs="Calibri"/>
          <w:lang w:val="en-GB"/>
        </w:rPr>
      </w:pPr>
      <w:r w:rsidRPr="003F183D">
        <w:rPr>
          <w:rFonts w:cs="Calibri"/>
          <w:lang w:val="en-GB"/>
        </w:rPr>
        <w:t>The size of the landscape economy covered by the four districts is measured by the annual income, expenditure and the net worth (asset minus liabilities) of each of the four-district assembly (local government authority responsible for the overall development and management) (</w:t>
      </w:r>
      <w:proofErr w:type="spellStart"/>
      <w:r w:rsidRPr="003F183D">
        <w:rPr>
          <w:rFonts w:cs="Calibri"/>
          <w:lang w:val="en-GB"/>
        </w:rPr>
        <w:t>Domelevo</w:t>
      </w:r>
      <w:proofErr w:type="spellEnd"/>
      <w:r w:rsidRPr="003F183D">
        <w:rPr>
          <w:rFonts w:cs="Calibri"/>
          <w:lang w:val="en-GB"/>
        </w:rPr>
        <w:t xml:space="preserve"> 2018)</w:t>
      </w:r>
    </w:p>
    <w:p w14:paraId="52391F2A" w14:textId="77777777" w:rsidR="005B0FBC" w:rsidRPr="003F183D" w:rsidRDefault="005B0FBC" w:rsidP="003F183D">
      <w:pPr>
        <w:jc w:val="both"/>
        <w:rPr>
          <w:rFonts w:cs="Calibri"/>
          <w:lang w:val="en-GB"/>
        </w:rPr>
      </w:pPr>
    </w:p>
    <w:p w14:paraId="746D64F2" w14:textId="77777777" w:rsidR="005B0FBC" w:rsidRPr="003F183D" w:rsidRDefault="005B0FBC" w:rsidP="003F183D">
      <w:pPr>
        <w:jc w:val="both"/>
        <w:rPr>
          <w:rFonts w:cs="Calibri"/>
          <w:lang w:val="en-GB"/>
        </w:rPr>
      </w:pPr>
      <w:r w:rsidRPr="003F183D">
        <w:rPr>
          <w:rFonts w:cs="Calibri"/>
          <w:lang w:val="en-GB"/>
        </w:rPr>
        <w:t xml:space="preserve">The income of these districts is obtained from Internally Generated Funds (IGF). IGF comprises of property rates, fees, licenses, royalties and other miscellaneous items. Other sources of income for the districts include </w:t>
      </w:r>
      <w:proofErr w:type="spellStart"/>
      <w:r w:rsidRPr="003F183D">
        <w:rPr>
          <w:rFonts w:cs="Calibri"/>
          <w:lang w:val="en-GB"/>
        </w:rPr>
        <w:t>i</w:t>
      </w:r>
      <w:proofErr w:type="spellEnd"/>
      <w:r w:rsidRPr="003F183D">
        <w:rPr>
          <w:rFonts w:cs="Calibri"/>
          <w:lang w:val="en-GB"/>
        </w:rPr>
        <w:t xml:space="preserve">) quarterly allocation of the district assembly’s common fund; ii) government salary grants; and iii) financial support from Ghana’s development partners. In 2017, there were twenty-two (22) districts in the Western Region including the four districts in this landscape (study area). The total annual income of 4 districts as well as of all 22 districts of the region is indicated in Table 2. In 2015, 4% of the total annual income of the 22 districts was recorded in Bia East district; whilst </w:t>
      </w:r>
      <w:proofErr w:type="spellStart"/>
      <w:r w:rsidRPr="003F183D">
        <w:rPr>
          <w:rFonts w:cs="Calibri"/>
          <w:lang w:val="en-GB"/>
        </w:rPr>
        <w:t>Sefwi-Wiawso</w:t>
      </w:r>
      <w:proofErr w:type="spellEnd"/>
      <w:r w:rsidRPr="003F183D">
        <w:rPr>
          <w:rFonts w:cs="Calibri"/>
          <w:lang w:val="en-GB"/>
        </w:rPr>
        <w:t xml:space="preserve"> district recorded 5.4% and 3% of the total annual income in 2016 and 2017 respectively. For the size of the four districts combined compared to that of the total number of districts in the Western Region, 13.1%, 13.1% and 10.5% of the annual income was recorded in these four districts combined in 2015, 2016 and 2017 respectively.</w:t>
      </w:r>
    </w:p>
    <w:p w14:paraId="23C69E30" w14:textId="77777777" w:rsidR="005B0FBC" w:rsidRPr="0063633D" w:rsidRDefault="005B0FBC" w:rsidP="005B0FBC">
      <w:pPr>
        <w:spacing w:line="240" w:lineRule="auto"/>
        <w:jc w:val="both"/>
        <w:rPr>
          <w:lang w:val="en-US"/>
        </w:rPr>
      </w:pPr>
    </w:p>
    <w:p w14:paraId="15AF5E19" w14:textId="49B1E4F5" w:rsidR="005B0FBC" w:rsidRPr="0063633D" w:rsidRDefault="005B0FBC" w:rsidP="005B0FBC">
      <w:pPr>
        <w:pStyle w:val="Bijschrift"/>
        <w:rPr>
          <w:lang w:val="en-US"/>
        </w:rPr>
      </w:pPr>
      <w:r>
        <w:t xml:space="preserve">Table </w:t>
      </w:r>
      <w:r>
        <w:fldChar w:fldCharType="begin"/>
      </w:r>
      <w:r>
        <w:instrText xml:space="preserve"> SEQ Table \* ARABIC </w:instrText>
      </w:r>
      <w:r>
        <w:fldChar w:fldCharType="separate"/>
      </w:r>
      <w:r w:rsidR="00D12D4D">
        <w:rPr>
          <w:noProof/>
        </w:rPr>
        <w:t>4</w:t>
      </w:r>
      <w:r>
        <w:fldChar w:fldCharType="end"/>
      </w:r>
      <w:r>
        <w:t xml:space="preserve">: </w:t>
      </w:r>
      <w:r w:rsidRPr="0063633D">
        <w:rPr>
          <w:lang w:val="en-US"/>
        </w:rPr>
        <w:t>Income (amount GH₵) received over three-year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1757"/>
        <w:gridCol w:w="1757"/>
        <w:gridCol w:w="1756"/>
      </w:tblGrid>
      <w:tr w:rsidR="005B0FBC" w:rsidRPr="0063633D" w14:paraId="66F70FAF" w14:textId="77777777" w:rsidTr="005E0688">
        <w:tc>
          <w:tcPr>
            <w:tcW w:w="2197" w:type="pct"/>
          </w:tcPr>
          <w:p w14:paraId="03B9A394" w14:textId="77777777" w:rsidR="005B0FBC" w:rsidRPr="0063633D" w:rsidRDefault="005B0FBC" w:rsidP="005E0688">
            <w:pPr>
              <w:spacing w:line="240" w:lineRule="auto"/>
            </w:pPr>
            <w:bookmarkStart w:id="2" w:name="OLE_LINK2"/>
            <w:r w:rsidRPr="0063633D">
              <w:t>District</w:t>
            </w:r>
          </w:p>
        </w:tc>
        <w:tc>
          <w:tcPr>
            <w:tcW w:w="934" w:type="pct"/>
          </w:tcPr>
          <w:p w14:paraId="03C5049D" w14:textId="77777777" w:rsidR="005B0FBC" w:rsidRPr="0063633D" w:rsidRDefault="005B0FBC" w:rsidP="005E0688">
            <w:pPr>
              <w:spacing w:line="240" w:lineRule="auto"/>
              <w:jc w:val="center"/>
            </w:pPr>
            <w:r w:rsidRPr="0063633D">
              <w:t>2015</w:t>
            </w:r>
          </w:p>
        </w:tc>
        <w:tc>
          <w:tcPr>
            <w:tcW w:w="934" w:type="pct"/>
          </w:tcPr>
          <w:p w14:paraId="384EB614" w14:textId="77777777" w:rsidR="005B0FBC" w:rsidRPr="0063633D" w:rsidRDefault="005B0FBC" w:rsidP="005E0688">
            <w:pPr>
              <w:spacing w:line="240" w:lineRule="auto"/>
              <w:jc w:val="center"/>
            </w:pPr>
            <w:r w:rsidRPr="0063633D">
              <w:t>2016</w:t>
            </w:r>
          </w:p>
        </w:tc>
        <w:tc>
          <w:tcPr>
            <w:tcW w:w="934" w:type="pct"/>
          </w:tcPr>
          <w:p w14:paraId="3EABFC33" w14:textId="77777777" w:rsidR="005B0FBC" w:rsidRPr="0063633D" w:rsidRDefault="005B0FBC" w:rsidP="005E0688">
            <w:pPr>
              <w:spacing w:line="240" w:lineRule="auto"/>
              <w:jc w:val="center"/>
            </w:pPr>
            <w:r w:rsidRPr="0063633D">
              <w:t>2017</w:t>
            </w:r>
          </w:p>
        </w:tc>
      </w:tr>
      <w:tr w:rsidR="005B0FBC" w:rsidRPr="0063633D" w14:paraId="19EE2463" w14:textId="77777777" w:rsidTr="005E0688">
        <w:tc>
          <w:tcPr>
            <w:tcW w:w="2197" w:type="pct"/>
          </w:tcPr>
          <w:p w14:paraId="2F21A0A4" w14:textId="77777777" w:rsidR="005B0FBC" w:rsidRPr="0063633D" w:rsidRDefault="005B0FBC" w:rsidP="005E0688">
            <w:pPr>
              <w:spacing w:line="240" w:lineRule="auto"/>
            </w:pPr>
            <w:proofErr w:type="spellStart"/>
            <w:r w:rsidRPr="0063633D">
              <w:t>Bia</w:t>
            </w:r>
            <w:proofErr w:type="spellEnd"/>
            <w:r w:rsidRPr="0063633D">
              <w:t xml:space="preserve"> East</w:t>
            </w:r>
          </w:p>
        </w:tc>
        <w:tc>
          <w:tcPr>
            <w:tcW w:w="934" w:type="pct"/>
          </w:tcPr>
          <w:p w14:paraId="381C74EB" w14:textId="77777777" w:rsidR="005B0FBC" w:rsidRPr="0063633D" w:rsidRDefault="005B0FBC" w:rsidP="005E0688">
            <w:pPr>
              <w:spacing w:line="240" w:lineRule="auto"/>
              <w:jc w:val="right"/>
            </w:pPr>
            <w:r w:rsidRPr="0063633D">
              <w:t>4 229 989</w:t>
            </w:r>
          </w:p>
        </w:tc>
        <w:tc>
          <w:tcPr>
            <w:tcW w:w="934" w:type="pct"/>
          </w:tcPr>
          <w:p w14:paraId="36BE1DD5" w14:textId="77777777" w:rsidR="005B0FBC" w:rsidRPr="0063633D" w:rsidRDefault="005B0FBC" w:rsidP="005E0688">
            <w:pPr>
              <w:spacing w:line="240" w:lineRule="auto"/>
              <w:jc w:val="right"/>
            </w:pPr>
            <w:r w:rsidRPr="0063633D">
              <w:t>3 798 432</w:t>
            </w:r>
          </w:p>
        </w:tc>
        <w:tc>
          <w:tcPr>
            <w:tcW w:w="934" w:type="pct"/>
          </w:tcPr>
          <w:p w14:paraId="368B52A4" w14:textId="77777777" w:rsidR="005B0FBC" w:rsidRPr="0063633D" w:rsidRDefault="005B0FBC" w:rsidP="005E0688">
            <w:pPr>
              <w:spacing w:line="240" w:lineRule="auto"/>
              <w:jc w:val="right"/>
            </w:pPr>
            <w:r w:rsidRPr="0063633D">
              <w:t>2 478 316</w:t>
            </w:r>
          </w:p>
        </w:tc>
      </w:tr>
      <w:tr w:rsidR="005B0FBC" w:rsidRPr="0063633D" w14:paraId="4FDB74D4" w14:textId="77777777" w:rsidTr="005E0688">
        <w:tc>
          <w:tcPr>
            <w:tcW w:w="2197" w:type="pct"/>
          </w:tcPr>
          <w:p w14:paraId="5FF6B664" w14:textId="77777777" w:rsidR="005B0FBC" w:rsidRPr="0063633D" w:rsidRDefault="005B0FBC" w:rsidP="005E0688">
            <w:pPr>
              <w:spacing w:line="240" w:lineRule="auto"/>
            </w:pPr>
            <w:proofErr w:type="spellStart"/>
            <w:r w:rsidRPr="0063633D">
              <w:t>Bia</w:t>
            </w:r>
            <w:proofErr w:type="spellEnd"/>
            <w:r w:rsidRPr="0063633D">
              <w:t xml:space="preserve"> West</w:t>
            </w:r>
          </w:p>
        </w:tc>
        <w:tc>
          <w:tcPr>
            <w:tcW w:w="934" w:type="pct"/>
          </w:tcPr>
          <w:p w14:paraId="16BFFEA9" w14:textId="77777777" w:rsidR="005B0FBC" w:rsidRPr="0063633D" w:rsidRDefault="005B0FBC" w:rsidP="005E0688">
            <w:pPr>
              <w:spacing w:line="240" w:lineRule="auto"/>
              <w:jc w:val="right"/>
            </w:pPr>
            <w:r w:rsidRPr="0063633D">
              <w:t>3 815 170</w:t>
            </w:r>
          </w:p>
        </w:tc>
        <w:tc>
          <w:tcPr>
            <w:tcW w:w="934" w:type="pct"/>
          </w:tcPr>
          <w:p w14:paraId="5E995530" w14:textId="77777777" w:rsidR="005B0FBC" w:rsidRPr="0063633D" w:rsidRDefault="005B0FBC" w:rsidP="005E0688">
            <w:pPr>
              <w:spacing w:line="240" w:lineRule="auto"/>
              <w:jc w:val="right"/>
            </w:pPr>
            <w:r w:rsidRPr="0063633D">
              <w:t>3 816 021</w:t>
            </w:r>
          </w:p>
        </w:tc>
        <w:tc>
          <w:tcPr>
            <w:tcW w:w="934" w:type="pct"/>
          </w:tcPr>
          <w:p w14:paraId="3B65EA54" w14:textId="77777777" w:rsidR="005B0FBC" w:rsidRPr="0063633D" w:rsidRDefault="005B0FBC" w:rsidP="005E0688">
            <w:pPr>
              <w:spacing w:line="240" w:lineRule="auto"/>
              <w:jc w:val="right"/>
            </w:pPr>
            <w:r w:rsidRPr="0063633D">
              <w:t>2 842 096</w:t>
            </w:r>
          </w:p>
        </w:tc>
      </w:tr>
      <w:tr w:rsidR="005B0FBC" w:rsidRPr="0063633D" w14:paraId="1D88472A" w14:textId="77777777" w:rsidTr="005E0688">
        <w:tc>
          <w:tcPr>
            <w:tcW w:w="2197" w:type="pct"/>
          </w:tcPr>
          <w:p w14:paraId="311DBA77" w14:textId="77777777" w:rsidR="005B0FBC" w:rsidRPr="0063633D" w:rsidRDefault="005B0FBC" w:rsidP="005E0688">
            <w:pPr>
              <w:spacing w:line="240" w:lineRule="auto"/>
            </w:pPr>
            <w:proofErr w:type="spellStart"/>
            <w:r w:rsidRPr="0063633D">
              <w:t>Juabeso</w:t>
            </w:r>
            <w:proofErr w:type="spellEnd"/>
          </w:p>
        </w:tc>
        <w:tc>
          <w:tcPr>
            <w:tcW w:w="934" w:type="pct"/>
          </w:tcPr>
          <w:p w14:paraId="5C872BB7" w14:textId="77777777" w:rsidR="005B0FBC" w:rsidRPr="0063633D" w:rsidRDefault="005B0FBC" w:rsidP="005E0688">
            <w:pPr>
              <w:spacing w:line="240" w:lineRule="auto"/>
              <w:jc w:val="right"/>
            </w:pPr>
            <w:r w:rsidRPr="0063633D">
              <w:t>3 262 888</w:t>
            </w:r>
          </w:p>
        </w:tc>
        <w:tc>
          <w:tcPr>
            <w:tcW w:w="934" w:type="pct"/>
          </w:tcPr>
          <w:p w14:paraId="48A4E612" w14:textId="77777777" w:rsidR="005B0FBC" w:rsidRPr="0063633D" w:rsidRDefault="005B0FBC" w:rsidP="005E0688">
            <w:pPr>
              <w:spacing w:line="240" w:lineRule="auto"/>
              <w:jc w:val="right"/>
            </w:pPr>
            <w:r w:rsidRPr="0063633D">
              <w:t>3 646 030</w:t>
            </w:r>
          </w:p>
        </w:tc>
        <w:tc>
          <w:tcPr>
            <w:tcW w:w="934" w:type="pct"/>
          </w:tcPr>
          <w:p w14:paraId="791B0B2A" w14:textId="77777777" w:rsidR="005B0FBC" w:rsidRPr="0063633D" w:rsidRDefault="005B0FBC" w:rsidP="005E0688">
            <w:pPr>
              <w:spacing w:line="240" w:lineRule="auto"/>
              <w:jc w:val="right"/>
            </w:pPr>
            <w:r w:rsidRPr="0063633D">
              <w:t>2 875 399</w:t>
            </w:r>
          </w:p>
        </w:tc>
      </w:tr>
      <w:tr w:rsidR="005B0FBC" w:rsidRPr="0063633D" w14:paraId="7278E3BB" w14:textId="77777777" w:rsidTr="005E0688">
        <w:tc>
          <w:tcPr>
            <w:tcW w:w="2197" w:type="pct"/>
          </w:tcPr>
          <w:p w14:paraId="101EE84F" w14:textId="77777777" w:rsidR="005B0FBC" w:rsidRPr="0063633D" w:rsidRDefault="005B0FBC" w:rsidP="005E0688">
            <w:pPr>
              <w:spacing w:line="240" w:lineRule="auto"/>
            </w:pPr>
            <w:proofErr w:type="spellStart"/>
            <w:r w:rsidRPr="0063633D">
              <w:t>Sefwi</w:t>
            </w:r>
            <w:proofErr w:type="spellEnd"/>
            <w:r w:rsidRPr="0063633D">
              <w:t xml:space="preserve"> </w:t>
            </w:r>
            <w:proofErr w:type="spellStart"/>
            <w:r w:rsidRPr="0063633D">
              <w:t>Wiawso</w:t>
            </w:r>
            <w:proofErr w:type="spellEnd"/>
          </w:p>
        </w:tc>
        <w:tc>
          <w:tcPr>
            <w:tcW w:w="934" w:type="pct"/>
          </w:tcPr>
          <w:p w14:paraId="0CC2CE35" w14:textId="77777777" w:rsidR="005B0FBC" w:rsidRPr="0063633D" w:rsidRDefault="005B0FBC" w:rsidP="005E0688">
            <w:pPr>
              <w:spacing w:line="240" w:lineRule="auto"/>
              <w:jc w:val="right"/>
            </w:pPr>
            <w:r w:rsidRPr="0063633D">
              <w:t>3 695 101</w:t>
            </w:r>
          </w:p>
        </w:tc>
        <w:tc>
          <w:tcPr>
            <w:tcW w:w="934" w:type="pct"/>
          </w:tcPr>
          <w:p w14:paraId="286D80E0" w14:textId="77777777" w:rsidR="005B0FBC" w:rsidRPr="0063633D" w:rsidRDefault="005B0FBC" w:rsidP="005E0688">
            <w:pPr>
              <w:spacing w:line="240" w:lineRule="auto"/>
              <w:jc w:val="right"/>
            </w:pPr>
            <w:r w:rsidRPr="0063633D">
              <w:t>8 006 957</w:t>
            </w:r>
          </w:p>
        </w:tc>
        <w:tc>
          <w:tcPr>
            <w:tcW w:w="934" w:type="pct"/>
          </w:tcPr>
          <w:p w14:paraId="0BF5DF01" w14:textId="77777777" w:rsidR="005B0FBC" w:rsidRPr="0063633D" w:rsidRDefault="005B0FBC" w:rsidP="005E0688">
            <w:pPr>
              <w:spacing w:line="240" w:lineRule="auto"/>
              <w:jc w:val="right"/>
            </w:pPr>
            <w:r w:rsidRPr="0063633D">
              <w:t>3 056 997</w:t>
            </w:r>
          </w:p>
        </w:tc>
      </w:tr>
      <w:tr w:rsidR="005B0FBC" w:rsidRPr="0063633D" w14:paraId="55E8F7D8" w14:textId="77777777" w:rsidTr="005E0688">
        <w:tc>
          <w:tcPr>
            <w:tcW w:w="2197" w:type="pct"/>
          </w:tcPr>
          <w:p w14:paraId="22C569E2" w14:textId="77777777" w:rsidR="005B0FBC" w:rsidRPr="0063633D" w:rsidRDefault="005B0FBC" w:rsidP="005E0688">
            <w:pPr>
              <w:spacing w:line="240" w:lineRule="auto"/>
              <w:rPr>
                <w:lang w:val="en-US"/>
              </w:rPr>
            </w:pPr>
            <w:r w:rsidRPr="0063633D">
              <w:rPr>
                <w:lang w:val="en-US"/>
              </w:rPr>
              <w:t>Total income of 4 districts combined</w:t>
            </w:r>
          </w:p>
        </w:tc>
        <w:tc>
          <w:tcPr>
            <w:tcW w:w="934" w:type="pct"/>
            <w:vAlign w:val="bottom"/>
          </w:tcPr>
          <w:p w14:paraId="0A7BBAC7" w14:textId="77777777" w:rsidR="005B0FBC" w:rsidRPr="0063633D" w:rsidRDefault="005B0FBC" w:rsidP="005E0688">
            <w:pPr>
              <w:spacing w:line="240" w:lineRule="auto"/>
              <w:jc w:val="right"/>
            </w:pPr>
            <w:r w:rsidRPr="0063633D">
              <w:rPr>
                <w:color w:val="000000"/>
              </w:rPr>
              <w:t>15 003 150</w:t>
            </w:r>
          </w:p>
        </w:tc>
        <w:tc>
          <w:tcPr>
            <w:tcW w:w="934" w:type="pct"/>
            <w:vAlign w:val="bottom"/>
          </w:tcPr>
          <w:p w14:paraId="47B91632" w14:textId="77777777" w:rsidR="005B0FBC" w:rsidRPr="0063633D" w:rsidRDefault="005B0FBC" w:rsidP="005E0688">
            <w:pPr>
              <w:spacing w:line="240" w:lineRule="auto"/>
              <w:jc w:val="right"/>
            </w:pPr>
            <w:r w:rsidRPr="0063633D">
              <w:rPr>
                <w:color w:val="000000"/>
              </w:rPr>
              <w:t>19 267 441</w:t>
            </w:r>
          </w:p>
        </w:tc>
        <w:tc>
          <w:tcPr>
            <w:tcW w:w="934" w:type="pct"/>
            <w:vAlign w:val="bottom"/>
          </w:tcPr>
          <w:p w14:paraId="229554F5" w14:textId="77777777" w:rsidR="005B0FBC" w:rsidRPr="0063633D" w:rsidRDefault="005B0FBC" w:rsidP="005E0688">
            <w:pPr>
              <w:spacing w:line="240" w:lineRule="auto"/>
              <w:jc w:val="right"/>
            </w:pPr>
            <w:r w:rsidRPr="0063633D">
              <w:rPr>
                <w:color w:val="000000"/>
              </w:rPr>
              <w:t>11 252 809</w:t>
            </w:r>
          </w:p>
        </w:tc>
      </w:tr>
      <w:tr w:rsidR="005B0FBC" w:rsidRPr="0063633D" w14:paraId="21AE9C21" w14:textId="77777777" w:rsidTr="005E0688">
        <w:tc>
          <w:tcPr>
            <w:tcW w:w="2197" w:type="pct"/>
          </w:tcPr>
          <w:p w14:paraId="65790630" w14:textId="77777777" w:rsidR="005B0FBC" w:rsidRPr="0063633D" w:rsidRDefault="005B0FBC" w:rsidP="005E0688">
            <w:pPr>
              <w:spacing w:line="240" w:lineRule="auto"/>
              <w:rPr>
                <w:lang w:val="en-US"/>
              </w:rPr>
            </w:pPr>
            <w:r w:rsidRPr="0063633D">
              <w:rPr>
                <w:lang w:val="en-US"/>
              </w:rPr>
              <w:t xml:space="preserve">Total income of 22 districts in </w:t>
            </w:r>
          </w:p>
        </w:tc>
        <w:tc>
          <w:tcPr>
            <w:tcW w:w="934" w:type="pct"/>
          </w:tcPr>
          <w:p w14:paraId="6EEF4EC7" w14:textId="77777777" w:rsidR="005B0FBC" w:rsidRPr="0063633D" w:rsidRDefault="005B0FBC" w:rsidP="005E0688">
            <w:pPr>
              <w:spacing w:line="240" w:lineRule="auto"/>
              <w:jc w:val="right"/>
            </w:pPr>
            <w:r w:rsidRPr="0063633D">
              <w:t>114 586 267</w:t>
            </w:r>
          </w:p>
        </w:tc>
        <w:tc>
          <w:tcPr>
            <w:tcW w:w="934" w:type="pct"/>
          </w:tcPr>
          <w:p w14:paraId="6DAE2559" w14:textId="77777777" w:rsidR="005B0FBC" w:rsidRPr="0063633D" w:rsidRDefault="005B0FBC" w:rsidP="005E0688">
            <w:pPr>
              <w:spacing w:line="240" w:lineRule="auto"/>
              <w:jc w:val="right"/>
            </w:pPr>
            <w:r w:rsidRPr="0063633D">
              <w:t>147 517 420</w:t>
            </w:r>
          </w:p>
        </w:tc>
        <w:tc>
          <w:tcPr>
            <w:tcW w:w="934" w:type="pct"/>
          </w:tcPr>
          <w:p w14:paraId="4CDBA751" w14:textId="77777777" w:rsidR="005B0FBC" w:rsidRPr="0063633D" w:rsidRDefault="005B0FBC" w:rsidP="005E0688">
            <w:pPr>
              <w:spacing w:line="240" w:lineRule="auto"/>
              <w:jc w:val="right"/>
            </w:pPr>
            <w:r w:rsidRPr="0063633D">
              <w:t>107 466 963</w:t>
            </w:r>
          </w:p>
        </w:tc>
      </w:tr>
      <w:bookmarkEnd w:id="2"/>
    </w:tbl>
    <w:p w14:paraId="42A85F53" w14:textId="77777777" w:rsidR="005B0FBC" w:rsidRPr="0063633D" w:rsidRDefault="005B0FBC" w:rsidP="005B0FBC"/>
    <w:p w14:paraId="505DDBFA" w14:textId="77777777" w:rsidR="005B0FBC" w:rsidRPr="003F183D" w:rsidRDefault="005B0FBC" w:rsidP="003F183D">
      <w:pPr>
        <w:jc w:val="both"/>
        <w:rPr>
          <w:rFonts w:cs="Calibri"/>
          <w:lang w:val="en-GB"/>
        </w:rPr>
      </w:pPr>
      <w:r w:rsidRPr="003F183D">
        <w:rPr>
          <w:rFonts w:cs="Calibri"/>
          <w:lang w:val="en-GB"/>
        </w:rPr>
        <w:t>The difference in annual income and expenditure of each of the four districts for only 2017 are the following; Bia East (</w:t>
      </w:r>
      <w:proofErr w:type="spellStart"/>
      <w:r w:rsidRPr="003F183D">
        <w:rPr>
          <w:rFonts w:cs="Calibri"/>
          <w:lang w:val="en-GB"/>
        </w:rPr>
        <w:t>Gh</w:t>
      </w:r>
      <w:proofErr w:type="spellEnd"/>
      <w:r w:rsidRPr="003F183D">
        <w:rPr>
          <w:rFonts w:cs="Calibri"/>
          <w:lang w:val="en-GB"/>
        </w:rPr>
        <w:t>ȼ 523746.87); Bia West (</w:t>
      </w:r>
      <w:proofErr w:type="spellStart"/>
      <w:r w:rsidRPr="003F183D">
        <w:rPr>
          <w:rFonts w:cs="Calibri"/>
          <w:lang w:val="en-GB"/>
        </w:rPr>
        <w:t>Gh</w:t>
      </w:r>
      <w:proofErr w:type="spellEnd"/>
      <w:r w:rsidRPr="003F183D">
        <w:rPr>
          <w:rFonts w:cs="Calibri"/>
          <w:lang w:val="en-GB"/>
        </w:rPr>
        <w:t xml:space="preserve">ȼ 244369.94); </w:t>
      </w:r>
      <w:proofErr w:type="spellStart"/>
      <w:r w:rsidRPr="003F183D">
        <w:rPr>
          <w:rFonts w:cs="Calibri"/>
          <w:lang w:val="en-GB"/>
        </w:rPr>
        <w:t>Juabeso</w:t>
      </w:r>
      <w:proofErr w:type="spellEnd"/>
      <w:r w:rsidRPr="003F183D">
        <w:rPr>
          <w:rFonts w:cs="Calibri"/>
          <w:lang w:val="en-GB"/>
        </w:rPr>
        <w:t xml:space="preserve"> (</w:t>
      </w:r>
      <w:proofErr w:type="spellStart"/>
      <w:r w:rsidRPr="003F183D">
        <w:rPr>
          <w:rFonts w:cs="Calibri"/>
          <w:lang w:val="en-GB"/>
        </w:rPr>
        <w:t>Gh</w:t>
      </w:r>
      <w:proofErr w:type="spellEnd"/>
      <w:r w:rsidRPr="003F183D">
        <w:rPr>
          <w:rFonts w:cs="Calibri"/>
          <w:lang w:val="en-GB"/>
        </w:rPr>
        <w:t xml:space="preserve">ȼ -96713.38); and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Wiawso</w:t>
      </w:r>
      <w:proofErr w:type="spellEnd"/>
      <w:r w:rsidRPr="003F183D">
        <w:rPr>
          <w:rFonts w:cs="Calibri"/>
          <w:lang w:val="en-GB"/>
        </w:rPr>
        <w:t xml:space="preserve"> (</w:t>
      </w:r>
      <w:proofErr w:type="spellStart"/>
      <w:r w:rsidRPr="003F183D">
        <w:rPr>
          <w:rFonts w:cs="Calibri"/>
          <w:lang w:val="en-GB"/>
        </w:rPr>
        <w:t>Gh</w:t>
      </w:r>
      <w:proofErr w:type="spellEnd"/>
      <w:r w:rsidRPr="003F183D">
        <w:rPr>
          <w:rFonts w:cs="Calibri"/>
          <w:lang w:val="en-GB"/>
        </w:rPr>
        <w:t xml:space="preserve">ȼ 852708.36). Again, </w:t>
      </w:r>
      <w:proofErr w:type="spellStart"/>
      <w:r w:rsidRPr="003F183D">
        <w:rPr>
          <w:rFonts w:cs="Calibri"/>
          <w:lang w:val="en-GB"/>
        </w:rPr>
        <w:t>Sefwi</w:t>
      </w:r>
      <w:proofErr w:type="spellEnd"/>
      <w:r w:rsidRPr="003F183D">
        <w:rPr>
          <w:rFonts w:cs="Calibri"/>
          <w:lang w:val="en-GB"/>
        </w:rPr>
        <w:t xml:space="preserve"> </w:t>
      </w:r>
      <w:proofErr w:type="spellStart"/>
      <w:r w:rsidRPr="003F183D">
        <w:rPr>
          <w:rFonts w:cs="Calibri"/>
          <w:lang w:val="en-GB"/>
        </w:rPr>
        <w:t>Wiawso</w:t>
      </w:r>
      <w:proofErr w:type="spellEnd"/>
      <w:r w:rsidRPr="003F183D">
        <w:rPr>
          <w:rFonts w:cs="Calibri"/>
          <w:lang w:val="en-GB"/>
        </w:rPr>
        <w:t xml:space="preserve"> recorded the highest surplus with </w:t>
      </w:r>
      <w:proofErr w:type="spellStart"/>
      <w:r w:rsidRPr="003F183D">
        <w:rPr>
          <w:rFonts w:cs="Calibri"/>
          <w:lang w:val="en-GB"/>
        </w:rPr>
        <w:t>Juabeso</w:t>
      </w:r>
      <w:proofErr w:type="spellEnd"/>
      <w:r w:rsidRPr="003F183D">
        <w:rPr>
          <w:rFonts w:cs="Calibri"/>
          <w:lang w:val="en-GB"/>
        </w:rPr>
        <w:t xml:space="preserve"> recording the lowest (deficit).</w:t>
      </w:r>
    </w:p>
    <w:p w14:paraId="3BCCE415" w14:textId="77777777" w:rsidR="005B0FBC" w:rsidRPr="0063633D" w:rsidRDefault="005B0FBC" w:rsidP="005B0FBC">
      <w:pPr>
        <w:autoSpaceDE w:val="0"/>
        <w:autoSpaceDN w:val="0"/>
        <w:adjustRightInd w:val="0"/>
        <w:spacing w:line="240" w:lineRule="auto"/>
        <w:jc w:val="both"/>
        <w:rPr>
          <w:lang w:val="en-US"/>
        </w:rPr>
      </w:pPr>
    </w:p>
    <w:p w14:paraId="3E56C070" w14:textId="77777777" w:rsidR="005B0FBC" w:rsidRPr="003F183D" w:rsidRDefault="005B0FBC" w:rsidP="003F183D">
      <w:pPr>
        <w:jc w:val="both"/>
        <w:rPr>
          <w:rFonts w:cs="Calibri"/>
          <w:lang w:val="en-GB"/>
        </w:rPr>
      </w:pPr>
      <w:r w:rsidRPr="003F183D">
        <w:rPr>
          <w:rFonts w:cs="Calibri"/>
          <w:lang w:val="en-GB"/>
        </w:rPr>
        <w:lastRenderedPageBreak/>
        <w:t>Relevant actions, interventions and research and development (R&amp;D) required in this landscape to ensure sustainability of agricultural activities and environmental management are the following (</w:t>
      </w:r>
      <w:proofErr w:type="spellStart"/>
      <w:r w:rsidRPr="003F183D">
        <w:rPr>
          <w:rFonts w:cs="Calibri"/>
          <w:lang w:val="en-GB"/>
        </w:rPr>
        <w:t>Damnyag</w:t>
      </w:r>
      <w:proofErr w:type="spellEnd"/>
      <w:r w:rsidRPr="003F183D">
        <w:rPr>
          <w:rFonts w:cs="Calibri"/>
          <w:lang w:val="en-GB"/>
        </w:rPr>
        <w:t xml:space="preserve"> et al 2018):</w:t>
      </w:r>
    </w:p>
    <w:p w14:paraId="2121551E" w14:textId="77777777" w:rsidR="005B0FBC" w:rsidRPr="0063633D" w:rsidRDefault="005B0FBC" w:rsidP="005B0FBC">
      <w:pPr>
        <w:spacing w:line="240" w:lineRule="auto"/>
        <w:jc w:val="both"/>
        <w:rPr>
          <w:lang w:val="en-US"/>
        </w:rPr>
      </w:pPr>
    </w:p>
    <w:p w14:paraId="16CB1DDE" w14:textId="77777777" w:rsidR="005B0FBC" w:rsidRPr="005B0FBC" w:rsidRDefault="005B0FBC" w:rsidP="00B10FA8">
      <w:pPr>
        <w:pStyle w:val="Lijstalinea"/>
        <w:numPr>
          <w:ilvl w:val="0"/>
          <w:numId w:val="12"/>
        </w:numPr>
        <w:spacing w:after="160" w:line="240" w:lineRule="auto"/>
        <w:ind w:left="360"/>
        <w:jc w:val="both"/>
      </w:pPr>
      <w:proofErr w:type="spellStart"/>
      <w:r w:rsidRPr="005B0FBC">
        <w:t>Sustainable</w:t>
      </w:r>
      <w:proofErr w:type="spellEnd"/>
      <w:r w:rsidRPr="005B0FBC">
        <w:t xml:space="preserve"> </w:t>
      </w:r>
      <w:proofErr w:type="spellStart"/>
      <w:r w:rsidRPr="005B0FBC">
        <w:t>Cocoa</w:t>
      </w:r>
      <w:proofErr w:type="spellEnd"/>
      <w:r w:rsidRPr="005B0FBC">
        <w:t xml:space="preserve"> </w:t>
      </w:r>
      <w:proofErr w:type="spellStart"/>
      <w:r w:rsidRPr="005B0FBC">
        <w:t>Agroforestry</w:t>
      </w:r>
      <w:proofErr w:type="spellEnd"/>
      <w:r w:rsidRPr="005B0FBC">
        <w:t xml:space="preserve"> Landscapes</w:t>
      </w:r>
    </w:p>
    <w:p w14:paraId="09458972" w14:textId="77777777" w:rsidR="005B0FBC" w:rsidRPr="005B0FBC" w:rsidRDefault="005B0FBC" w:rsidP="00B10FA8">
      <w:pPr>
        <w:pStyle w:val="Lijstalinea"/>
        <w:numPr>
          <w:ilvl w:val="0"/>
          <w:numId w:val="8"/>
        </w:numPr>
        <w:spacing w:after="160" w:line="240" w:lineRule="auto"/>
        <w:ind w:left="720" w:hanging="360"/>
        <w:jc w:val="both"/>
        <w:rPr>
          <w:lang w:val="en-US"/>
        </w:rPr>
      </w:pPr>
      <w:r w:rsidRPr="005B0FBC">
        <w:rPr>
          <w:lang w:val="en-US"/>
        </w:rPr>
        <w:t>Address the challenge created by the situation where most lands are used for cocoa production in these districts leading to encroachment of forest reserves for food crop production.</w:t>
      </w:r>
    </w:p>
    <w:p w14:paraId="4BB68BF1" w14:textId="77777777" w:rsidR="005B0FBC" w:rsidRPr="005B0FBC" w:rsidRDefault="005B0FBC" w:rsidP="00B10FA8">
      <w:pPr>
        <w:pStyle w:val="Lijstalinea"/>
        <w:numPr>
          <w:ilvl w:val="0"/>
          <w:numId w:val="8"/>
        </w:numPr>
        <w:spacing w:after="160" w:line="240" w:lineRule="auto"/>
        <w:ind w:left="720" w:hanging="360"/>
        <w:jc w:val="both"/>
        <w:rPr>
          <w:lang w:val="en-US"/>
        </w:rPr>
      </w:pPr>
      <w:r w:rsidRPr="005B0FBC">
        <w:rPr>
          <w:lang w:val="en-US"/>
        </w:rPr>
        <w:t>Increase tree cover/tree cover restoration. Provide tree seedlings to farmers on time and offer tree management and other extension services to farmers to improve their participation in off-reserve tree management.</w:t>
      </w:r>
    </w:p>
    <w:p w14:paraId="352378DD" w14:textId="77777777" w:rsidR="005B0FBC" w:rsidRPr="005B0FBC" w:rsidRDefault="005B0FBC" w:rsidP="00B10FA8">
      <w:pPr>
        <w:pStyle w:val="Lijstalinea"/>
        <w:numPr>
          <w:ilvl w:val="0"/>
          <w:numId w:val="8"/>
        </w:numPr>
        <w:spacing w:after="160" w:line="240" w:lineRule="auto"/>
        <w:ind w:left="720" w:hanging="360"/>
        <w:jc w:val="both"/>
        <w:rPr>
          <w:lang w:val="en-US"/>
        </w:rPr>
      </w:pPr>
      <w:r w:rsidRPr="005B0FBC">
        <w:rPr>
          <w:lang w:val="en-US"/>
        </w:rPr>
        <w:t>Resource responsible institutions (e.g. MOFA) to educate farmers on radio, farmer field fora etc. on importance of protecting forest.</w:t>
      </w:r>
    </w:p>
    <w:p w14:paraId="2CE087BC"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Economic incentives to shift activities to degraded lands.</w:t>
      </w:r>
    </w:p>
    <w:p w14:paraId="3CC3FBC8"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Harmonized land use policies (both legal and traditional).</w:t>
      </w:r>
    </w:p>
    <w:p w14:paraId="459F023F"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Secure tenure arrangements and benefit sharing schemes to encourage integration of trees on farms.</w:t>
      </w:r>
    </w:p>
    <w:p w14:paraId="0025F585"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Supply of eco-specific desirable tree seedling for cocoa-agroforestry.</w:t>
      </w:r>
    </w:p>
    <w:p w14:paraId="4B489F7F"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 xml:space="preserve">Provide new technologies, high quality planting materials, financial access, improved extension services to reduce the need for land </w:t>
      </w:r>
      <w:proofErr w:type="spellStart"/>
      <w:r w:rsidRPr="005B0FBC">
        <w:rPr>
          <w:lang w:val="en-US"/>
        </w:rPr>
        <w:t>extensification</w:t>
      </w:r>
      <w:proofErr w:type="spellEnd"/>
      <w:r w:rsidRPr="005B0FBC">
        <w:rPr>
          <w:lang w:val="en-US"/>
        </w:rPr>
        <w:t>, particularly cocoa land expansion.</w:t>
      </w:r>
    </w:p>
    <w:p w14:paraId="3C1B9D1C" w14:textId="77777777" w:rsidR="005B0FBC" w:rsidRPr="005B0FBC" w:rsidRDefault="005B0FBC" w:rsidP="00B10FA8">
      <w:pPr>
        <w:pStyle w:val="Lijstalinea"/>
        <w:numPr>
          <w:ilvl w:val="0"/>
          <w:numId w:val="8"/>
        </w:numPr>
        <w:spacing w:after="240" w:line="240" w:lineRule="auto"/>
        <w:ind w:left="720" w:hanging="360"/>
        <w:jc w:val="both"/>
        <w:rPr>
          <w:lang w:val="en-US"/>
        </w:rPr>
      </w:pPr>
      <w:r w:rsidRPr="005B0FBC">
        <w:rPr>
          <w:lang w:val="en-US"/>
        </w:rPr>
        <w:t xml:space="preserve">Government or NGOs should roll out livelihood activities during off-cocoa season to sustain the income of farmers. In addition, </w:t>
      </w:r>
      <w:proofErr w:type="spellStart"/>
      <w:r w:rsidRPr="005B0FBC">
        <w:rPr>
          <w:lang w:val="en-US"/>
        </w:rPr>
        <w:t>programmes</w:t>
      </w:r>
      <w:proofErr w:type="spellEnd"/>
      <w:r w:rsidRPr="005B0FBC">
        <w:rPr>
          <w:lang w:val="en-US"/>
        </w:rPr>
        <w:t xml:space="preserve"> for educating cocoa farmers on proper management of cocoa revenues and saving habits should also be rolled out.</w:t>
      </w:r>
    </w:p>
    <w:p w14:paraId="0A671876" w14:textId="77777777" w:rsidR="005B0FBC" w:rsidRPr="005B0FBC" w:rsidRDefault="005B0FBC" w:rsidP="005B0FBC">
      <w:pPr>
        <w:spacing w:line="240" w:lineRule="auto"/>
        <w:jc w:val="both"/>
        <w:rPr>
          <w:lang w:val="en-US"/>
        </w:rPr>
      </w:pPr>
      <w:r w:rsidRPr="005B0FBC">
        <w:rPr>
          <w:lang w:val="en-US"/>
        </w:rPr>
        <w:t>(ii) Strengthening Conservation of Closed Forest Reserves</w:t>
      </w:r>
    </w:p>
    <w:p w14:paraId="30221FD0" w14:textId="77777777" w:rsidR="005B0FBC" w:rsidRPr="005B0FBC" w:rsidRDefault="005B0FBC" w:rsidP="00B10FA8">
      <w:pPr>
        <w:pStyle w:val="Lijstalinea"/>
        <w:numPr>
          <w:ilvl w:val="0"/>
          <w:numId w:val="9"/>
        </w:numPr>
        <w:spacing w:line="240" w:lineRule="auto"/>
        <w:jc w:val="both"/>
        <w:rPr>
          <w:lang w:val="en-US"/>
        </w:rPr>
      </w:pPr>
      <w:r w:rsidRPr="005B0FBC">
        <w:rPr>
          <w:lang w:val="en-US"/>
        </w:rPr>
        <w:t>Activities of logging firms should be monitored to ensure that they comply with procedures and obligations that go with harvesting an allocated concession.</w:t>
      </w:r>
    </w:p>
    <w:p w14:paraId="282B4A34"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Involve community members in the patrol of forest areas.</w:t>
      </w:r>
    </w:p>
    <w:p w14:paraId="1FCA65FD"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The capacities of literates amongst community members should be improved in basic forest laws so they could verify the authenticity of logging permits shown them.</w:t>
      </w:r>
    </w:p>
    <w:p w14:paraId="32B75E1F"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Avenues and procedures for reporting forest illegalities should be outlined and community members made aware of them so they could volunteer information as and when illegal activities are observed.</w:t>
      </w:r>
    </w:p>
    <w:p w14:paraId="3FA2A27B"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Improve the working conditions of forestry staff to help ward off tendencies to engage in corrupt practices.</w:t>
      </w:r>
    </w:p>
    <w:p w14:paraId="5D400CA4"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Encourage and sustain alternative livelihoods in fringe communities to reduce dependence on forests.</w:t>
      </w:r>
    </w:p>
    <w:p w14:paraId="7D31E61C"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Defaulters of forest regulations should be duly punished to serve as deterrence to others (e.g. revoking logging permits).</w:t>
      </w:r>
    </w:p>
    <w:p w14:paraId="7E55CE02"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Sensitization of fringe communities on forest fires and forest protection.</w:t>
      </w:r>
    </w:p>
    <w:p w14:paraId="3CCD1D16"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Ensuring the prevalence of legal lumber in domestic timber markets.</w:t>
      </w:r>
    </w:p>
    <w:p w14:paraId="23E1A04C"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Embracing innovative forest governance initiatives such as forest certification, FLEGT-VPA.</w:t>
      </w:r>
    </w:p>
    <w:p w14:paraId="21CF4C24"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 xml:space="preserve">Pursue enrichment planting in degraded portions of reserved/protected areas. </w:t>
      </w:r>
    </w:p>
    <w:p w14:paraId="28A8D453" w14:textId="77777777" w:rsidR="005B0FBC" w:rsidRPr="005B0FBC" w:rsidRDefault="005B0FBC" w:rsidP="00B10FA8">
      <w:pPr>
        <w:numPr>
          <w:ilvl w:val="0"/>
          <w:numId w:val="9"/>
        </w:numPr>
        <w:spacing w:after="240" w:line="240" w:lineRule="auto"/>
        <w:contextualSpacing/>
        <w:jc w:val="both"/>
        <w:rPr>
          <w:lang w:val="en-US"/>
        </w:rPr>
      </w:pPr>
      <w:r w:rsidRPr="005B0FBC">
        <w:rPr>
          <w:lang w:val="en-US"/>
        </w:rPr>
        <w:t xml:space="preserve">Train communities and resource them to engage in protection of reserved/protected areas. </w:t>
      </w:r>
    </w:p>
    <w:p w14:paraId="6FE6466C" w14:textId="77777777" w:rsidR="005B0FBC" w:rsidRPr="005B0FBC" w:rsidRDefault="005B0FBC" w:rsidP="005B0FBC">
      <w:pPr>
        <w:spacing w:after="240" w:line="240" w:lineRule="auto"/>
        <w:ind w:left="720"/>
        <w:contextualSpacing/>
        <w:jc w:val="both"/>
        <w:rPr>
          <w:lang w:val="en-US"/>
        </w:rPr>
      </w:pPr>
    </w:p>
    <w:p w14:paraId="70288801" w14:textId="77777777" w:rsidR="005B0FBC" w:rsidRPr="005B0FBC" w:rsidRDefault="005B0FBC" w:rsidP="005B0FBC">
      <w:pPr>
        <w:spacing w:line="240" w:lineRule="auto"/>
        <w:jc w:val="both"/>
        <w:rPr>
          <w:lang w:val="en-US"/>
        </w:rPr>
      </w:pPr>
      <w:r w:rsidRPr="005B0FBC" w:rsidDel="004E251A">
        <w:rPr>
          <w:lang w:val="en-US"/>
        </w:rPr>
        <w:t xml:space="preserve"> </w:t>
      </w:r>
      <w:r w:rsidRPr="005B0FBC">
        <w:rPr>
          <w:lang w:val="en-US"/>
        </w:rPr>
        <w:t>(iii) Sustainable Forest Management and Tree Planting (Management of Wood Resources)</w:t>
      </w:r>
    </w:p>
    <w:p w14:paraId="5DF6886C" w14:textId="77777777" w:rsidR="005B0FBC" w:rsidRPr="005B0FBC" w:rsidRDefault="005B0FBC" w:rsidP="00B10FA8">
      <w:pPr>
        <w:pStyle w:val="Lijstalinea"/>
        <w:numPr>
          <w:ilvl w:val="0"/>
          <w:numId w:val="10"/>
        </w:numPr>
        <w:spacing w:after="240" w:line="240" w:lineRule="auto"/>
        <w:jc w:val="both"/>
        <w:rPr>
          <w:lang w:val="en-US"/>
        </w:rPr>
      </w:pPr>
      <w:r w:rsidRPr="005B0FBC">
        <w:rPr>
          <w:lang w:val="en-US"/>
        </w:rPr>
        <w:t xml:space="preserve">Portions of degraded forest reserves should be restored in collaboration with local communities. When such portions of degraded forest areas are given out for rehabilitation, the activities of farmers should be monitored to ensure that the objective for which the land was given out is achieved. </w:t>
      </w:r>
    </w:p>
    <w:p w14:paraId="55DC6D07" w14:textId="77777777" w:rsidR="005B0FBC" w:rsidRPr="005B0FBC" w:rsidRDefault="005B0FBC" w:rsidP="00B10FA8">
      <w:pPr>
        <w:pStyle w:val="Lijstalinea"/>
        <w:numPr>
          <w:ilvl w:val="0"/>
          <w:numId w:val="10"/>
        </w:numPr>
        <w:spacing w:after="240" w:line="240" w:lineRule="auto"/>
        <w:jc w:val="both"/>
        <w:rPr>
          <w:lang w:val="en-US"/>
        </w:rPr>
      </w:pPr>
      <w:r w:rsidRPr="005B0FBC">
        <w:rPr>
          <w:lang w:val="en-US"/>
        </w:rPr>
        <w:t>Encourage private investment in commercial forestry outside forest reserves and along dried-up and flowing streams and rivers (to be done in inland valleys where   rice production goes on and on lands outside forest reserves i.e. cocoa farmlands and fallow lands).</w:t>
      </w:r>
    </w:p>
    <w:p w14:paraId="044F7E90" w14:textId="77777777" w:rsidR="005B0FBC" w:rsidRPr="005B0FBC" w:rsidRDefault="005B0FBC" w:rsidP="00B10FA8">
      <w:pPr>
        <w:pStyle w:val="Lijstalinea"/>
        <w:numPr>
          <w:ilvl w:val="0"/>
          <w:numId w:val="10"/>
        </w:numPr>
        <w:spacing w:line="240" w:lineRule="auto"/>
        <w:ind w:left="714" w:hanging="357"/>
        <w:jc w:val="both"/>
        <w:rPr>
          <w:lang w:val="en-US"/>
        </w:rPr>
      </w:pPr>
      <w:r w:rsidRPr="005B0FBC">
        <w:rPr>
          <w:lang w:val="en-US"/>
        </w:rPr>
        <w:t>Promote plantation/woodlot development in communities to meet the needs of society.</w:t>
      </w:r>
    </w:p>
    <w:p w14:paraId="78B705B1" w14:textId="77777777" w:rsidR="005B0FBC" w:rsidRPr="005B0FBC" w:rsidRDefault="005B0FBC" w:rsidP="00B10FA8">
      <w:pPr>
        <w:numPr>
          <w:ilvl w:val="0"/>
          <w:numId w:val="10"/>
        </w:numPr>
        <w:spacing w:after="240" w:line="240" w:lineRule="auto"/>
        <w:contextualSpacing/>
        <w:jc w:val="both"/>
        <w:rPr>
          <w:lang w:val="en-US"/>
        </w:rPr>
      </w:pPr>
      <w:r w:rsidRPr="005B0FBC">
        <w:rPr>
          <w:lang w:val="en-US"/>
        </w:rPr>
        <w:lastRenderedPageBreak/>
        <w:t>Promotion of alternative, efficient sources of energy such as LPG, improved cook stoves so the natural forests are not burdened.</w:t>
      </w:r>
    </w:p>
    <w:p w14:paraId="20625E06" w14:textId="77777777" w:rsidR="005B0FBC" w:rsidRPr="005B0FBC" w:rsidRDefault="005B0FBC" w:rsidP="00B10FA8">
      <w:pPr>
        <w:numPr>
          <w:ilvl w:val="0"/>
          <w:numId w:val="10"/>
        </w:numPr>
        <w:spacing w:after="240" w:line="240" w:lineRule="auto"/>
        <w:contextualSpacing/>
        <w:jc w:val="both"/>
        <w:rPr>
          <w:lang w:val="en-US"/>
        </w:rPr>
      </w:pPr>
      <w:r w:rsidRPr="005B0FBC">
        <w:rPr>
          <w:lang w:val="en-US"/>
        </w:rPr>
        <w:t>Laws regarding tree tenure as well as benefit sharing arrangements should be reviewed to enhance the interest of farmers in tree planting schemes and conservation.</w:t>
      </w:r>
    </w:p>
    <w:p w14:paraId="78BDD66E" w14:textId="77777777" w:rsidR="005B0FBC" w:rsidRPr="005B0FBC" w:rsidRDefault="005B0FBC" w:rsidP="00B10FA8">
      <w:pPr>
        <w:numPr>
          <w:ilvl w:val="0"/>
          <w:numId w:val="10"/>
        </w:numPr>
        <w:spacing w:after="240" w:line="240" w:lineRule="auto"/>
        <w:contextualSpacing/>
        <w:jc w:val="both"/>
        <w:rPr>
          <w:lang w:val="en-US"/>
        </w:rPr>
      </w:pPr>
      <w:r w:rsidRPr="005B0FBC">
        <w:rPr>
          <w:lang w:val="en-US"/>
        </w:rPr>
        <w:t>Policies outlining ownership and distribution of revenue accrued from enhancing forest carbon stocks should be made available from the onset of REDD+ projects to prevent future conflicts.</w:t>
      </w:r>
    </w:p>
    <w:p w14:paraId="25D83A64" w14:textId="77777777" w:rsidR="005B0FBC" w:rsidRPr="005B0FBC" w:rsidRDefault="005B0FBC" w:rsidP="00B10FA8">
      <w:pPr>
        <w:numPr>
          <w:ilvl w:val="0"/>
          <w:numId w:val="10"/>
        </w:numPr>
        <w:spacing w:after="240" w:line="240" w:lineRule="auto"/>
        <w:contextualSpacing/>
        <w:jc w:val="both"/>
        <w:rPr>
          <w:lang w:val="en-US"/>
        </w:rPr>
      </w:pPr>
      <w:r w:rsidRPr="005B0FBC">
        <w:rPr>
          <w:lang w:val="en-US"/>
        </w:rPr>
        <w:t>Form vibrant farmer groups on tree plantations to foster the interest of farmers in community forest enterprises/businesses.</w:t>
      </w:r>
    </w:p>
    <w:p w14:paraId="7344CEB0" w14:textId="77777777" w:rsidR="005B0FBC" w:rsidRPr="005B0FBC" w:rsidRDefault="005B0FBC" w:rsidP="005B0FBC">
      <w:pPr>
        <w:spacing w:after="240" w:line="240" w:lineRule="auto"/>
        <w:ind w:left="720"/>
        <w:contextualSpacing/>
        <w:jc w:val="both"/>
        <w:rPr>
          <w:lang w:val="en-US"/>
        </w:rPr>
      </w:pPr>
    </w:p>
    <w:p w14:paraId="31BA3744" w14:textId="77777777" w:rsidR="005B0FBC" w:rsidRPr="005B0FBC" w:rsidRDefault="005B0FBC" w:rsidP="005B0FBC">
      <w:pPr>
        <w:spacing w:line="240" w:lineRule="auto"/>
        <w:jc w:val="both"/>
        <w:rPr>
          <w:lang w:val="en-US"/>
        </w:rPr>
      </w:pPr>
      <w:r w:rsidRPr="005B0FBC">
        <w:rPr>
          <w:lang w:val="en-US"/>
        </w:rPr>
        <w:t>(iv) Improving the Landscape Governance Framework</w:t>
      </w:r>
    </w:p>
    <w:p w14:paraId="4FE6F2F6" w14:textId="77777777" w:rsidR="005B0FBC" w:rsidRPr="005B0FBC" w:rsidRDefault="005B0FBC" w:rsidP="00B10FA8">
      <w:pPr>
        <w:pStyle w:val="Lijstalinea"/>
        <w:numPr>
          <w:ilvl w:val="0"/>
          <w:numId w:val="11"/>
        </w:numPr>
        <w:spacing w:after="240" w:line="240" w:lineRule="auto"/>
        <w:jc w:val="both"/>
        <w:rPr>
          <w:lang w:val="en-US"/>
        </w:rPr>
      </w:pPr>
      <w:r w:rsidRPr="005B0FBC">
        <w:rPr>
          <w:lang w:val="en-US"/>
        </w:rPr>
        <w:t xml:space="preserve">There should be a forestry unit at all District Assemblies to enhance coordination with other state departments and agencies. </w:t>
      </w:r>
    </w:p>
    <w:p w14:paraId="6A03973D" w14:textId="77777777" w:rsidR="005B0FBC" w:rsidRPr="005B0FBC" w:rsidRDefault="005B0FBC" w:rsidP="00B10FA8">
      <w:pPr>
        <w:pStyle w:val="Lijstalinea"/>
        <w:numPr>
          <w:ilvl w:val="0"/>
          <w:numId w:val="11"/>
        </w:numPr>
        <w:spacing w:after="240" w:line="240" w:lineRule="auto"/>
        <w:jc w:val="both"/>
        <w:rPr>
          <w:lang w:val="en-US"/>
        </w:rPr>
      </w:pPr>
      <w:r w:rsidRPr="005B0FBC">
        <w:rPr>
          <w:lang w:val="en-US"/>
        </w:rPr>
        <w:t>District Assemblies should have a comprehensive land use plan to ensure that various activities are tied to the appropriate landscape or ecosystem (i.e. addressing lack of land use planning).</w:t>
      </w:r>
    </w:p>
    <w:p w14:paraId="26CDF121" w14:textId="77777777" w:rsidR="005B0FBC" w:rsidRPr="005B0FBC" w:rsidRDefault="005B0FBC" w:rsidP="00B10FA8">
      <w:pPr>
        <w:pStyle w:val="Lijstalinea"/>
        <w:numPr>
          <w:ilvl w:val="0"/>
          <w:numId w:val="11"/>
        </w:numPr>
        <w:spacing w:after="160" w:line="240" w:lineRule="auto"/>
        <w:jc w:val="both"/>
        <w:rPr>
          <w:lang w:val="en-US"/>
        </w:rPr>
      </w:pPr>
      <w:r w:rsidRPr="005B0FBC">
        <w:rPr>
          <w:lang w:val="en-US"/>
        </w:rPr>
        <w:t>Incorporate forest conservation into educational curriculum to instill civic responsibility in the upcoming generation to conserve forest resources.</w:t>
      </w:r>
    </w:p>
    <w:p w14:paraId="45A83D07" w14:textId="77777777" w:rsidR="005B0FBC" w:rsidRPr="005B0FBC" w:rsidRDefault="005B0FBC" w:rsidP="00B10FA8">
      <w:pPr>
        <w:pStyle w:val="Lijstalinea"/>
        <w:numPr>
          <w:ilvl w:val="0"/>
          <w:numId w:val="11"/>
        </w:numPr>
        <w:spacing w:after="240" w:line="240" w:lineRule="auto"/>
        <w:jc w:val="both"/>
        <w:rPr>
          <w:lang w:val="en-US"/>
        </w:rPr>
      </w:pPr>
      <w:r w:rsidRPr="005B0FBC">
        <w:rPr>
          <w:lang w:val="en-US"/>
        </w:rPr>
        <w:t>Improve the capacity and the operations of the small-scale mining sector, and reduce illegal artisanal mining (</w:t>
      </w:r>
      <w:proofErr w:type="spellStart"/>
      <w:r w:rsidRPr="005B0FBC">
        <w:rPr>
          <w:lang w:val="en-US"/>
        </w:rPr>
        <w:t>galamsey</w:t>
      </w:r>
      <w:proofErr w:type="spellEnd"/>
      <w:r w:rsidRPr="005B0FBC">
        <w:rPr>
          <w:lang w:val="en-US"/>
        </w:rPr>
        <w:t>).</w:t>
      </w:r>
    </w:p>
    <w:p w14:paraId="623A1EAA" w14:textId="77777777" w:rsidR="005B0FBC" w:rsidRPr="005B0FBC" w:rsidRDefault="005B0FBC" w:rsidP="00B10FA8">
      <w:pPr>
        <w:pStyle w:val="Lijstalinea"/>
        <w:numPr>
          <w:ilvl w:val="0"/>
          <w:numId w:val="11"/>
        </w:numPr>
        <w:spacing w:after="160" w:line="240" w:lineRule="auto"/>
        <w:jc w:val="both"/>
        <w:rPr>
          <w:lang w:val="en-US"/>
        </w:rPr>
      </w:pPr>
      <w:r w:rsidRPr="005B0FBC">
        <w:rPr>
          <w:lang w:val="en-US"/>
        </w:rPr>
        <w:t xml:space="preserve">Improve coordination and collaboration among the various agencies in the mining sector to engender the enforcement of environmental and mining regulations. </w:t>
      </w:r>
    </w:p>
    <w:p w14:paraId="6AB759E3" w14:textId="77777777" w:rsidR="005B0FBC" w:rsidRPr="005B0FBC" w:rsidRDefault="005B0FBC" w:rsidP="00B10FA8">
      <w:pPr>
        <w:pStyle w:val="Lijstalinea"/>
        <w:numPr>
          <w:ilvl w:val="0"/>
          <w:numId w:val="11"/>
        </w:numPr>
        <w:spacing w:after="240" w:line="240" w:lineRule="auto"/>
        <w:jc w:val="both"/>
        <w:rPr>
          <w:lang w:val="en-US"/>
        </w:rPr>
      </w:pPr>
      <w:r w:rsidRPr="005B0FBC">
        <w:rPr>
          <w:lang w:val="en-US"/>
        </w:rPr>
        <w:t>Improve staff strength of agricultural and forest agencies for strong, effective monitoring and law enforcement (inter-agency collaboration).</w:t>
      </w:r>
    </w:p>
    <w:p w14:paraId="17005C84" w14:textId="77777777" w:rsidR="005B0FBC" w:rsidRPr="005B0FBC" w:rsidRDefault="005B0FBC" w:rsidP="00B10FA8">
      <w:pPr>
        <w:pStyle w:val="Lijstalinea"/>
        <w:numPr>
          <w:ilvl w:val="0"/>
          <w:numId w:val="11"/>
        </w:numPr>
        <w:spacing w:after="240" w:line="240" w:lineRule="auto"/>
        <w:jc w:val="both"/>
        <w:rPr>
          <w:b/>
          <w:lang w:val="en-US"/>
        </w:rPr>
      </w:pPr>
      <w:r w:rsidRPr="005B0FBC">
        <w:rPr>
          <w:lang w:val="en-US"/>
        </w:rPr>
        <w:t>Improve environmental monitoring at the district level.</w:t>
      </w:r>
    </w:p>
    <w:p w14:paraId="03EA01E2" w14:textId="77777777" w:rsidR="005B0FBC" w:rsidRPr="003F183D" w:rsidRDefault="005B0FBC" w:rsidP="003F183D">
      <w:pPr>
        <w:jc w:val="both"/>
        <w:rPr>
          <w:rFonts w:cs="Calibri"/>
          <w:lang w:val="en-GB"/>
        </w:rPr>
      </w:pPr>
      <w:r w:rsidRPr="003F183D">
        <w:rPr>
          <w:rFonts w:cs="Calibri"/>
          <w:lang w:val="en-GB"/>
        </w:rPr>
        <w:t xml:space="preserve">A participative identification and description of the main current relevant financial flows in the landscape has been performed, confirming the importance of private financial flows in the forest, mining and cocoa sectors with varying impacts on the landscape and the objectives of its inhabitants. Data are still being analyzed to determine where opportunities and barriers lie for finance for climate smart land use. These will be used in the determination of the priority climate action plan of the MoMo4C </w:t>
      </w:r>
      <w:proofErr w:type="spellStart"/>
      <w:r w:rsidRPr="003F183D">
        <w:rPr>
          <w:rFonts w:cs="Calibri"/>
          <w:lang w:val="en-GB"/>
        </w:rPr>
        <w:t>programme</w:t>
      </w:r>
      <w:proofErr w:type="spellEnd"/>
      <w:r w:rsidRPr="003F183D">
        <w:rPr>
          <w:rFonts w:cs="Calibri"/>
          <w:lang w:val="en-GB"/>
        </w:rPr>
        <w:t>.</w:t>
      </w:r>
    </w:p>
    <w:p w14:paraId="4356EAFB" w14:textId="77777777" w:rsidR="005B0FBC" w:rsidRPr="005B0FBC" w:rsidRDefault="005B0FBC" w:rsidP="005B0FBC">
      <w:pPr>
        <w:autoSpaceDE w:val="0"/>
        <w:autoSpaceDN w:val="0"/>
        <w:adjustRightInd w:val="0"/>
        <w:spacing w:line="240" w:lineRule="auto"/>
        <w:jc w:val="both"/>
        <w:rPr>
          <w:lang w:val="en-US"/>
        </w:rPr>
      </w:pPr>
    </w:p>
    <w:p w14:paraId="78817BA4" w14:textId="77777777" w:rsidR="005B0FBC" w:rsidRPr="003F183D" w:rsidRDefault="005B0FBC" w:rsidP="003F183D">
      <w:pPr>
        <w:jc w:val="both"/>
        <w:rPr>
          <w:rFonts w:cs="Calibri"/>
          <w:u w:val="single"/>
          <w:lang w:val="en-GB"/>
        </w:rPr>
      </w:pPr>
      <w:r w:rsidRPr="003F183D">
        <w:rPr>
          <w:rFonts w:cs="Calibri"/>
          <w:u w:val="single"/>
          <w:lang w:val="en-GB"/>
        </w:rPr>
        <w:t>Policies</w:t>
      </w:r>
    </w:p>
    <w:p w14:paraId="1A714854" w14:textId="77777777" w:rsidR="005B0FBC" w:rsidRPr="003F183D" w:rsidRDefault="005B0FBC" w:rsidP="003F183D">
      <w:pPr>
        <w:jc w:val="both"/>
        <w:rPr>
          <w:rFonts w:cs="Calibri"/>
          <w:lang w:val="en-GB"/>
        </w:rPr>
      </w:pPr>
      <w:r w:rsidRPr="003F183D">
        <w:rPr>
          <w:rFonts w:cs="Calibri"/>
          <w:lang w:val="en-GB"/>
        </w:rPr>
        <w:t xml:space="preserve">A number of sector related policies and </w:t>
      </w:r>
      <w:proofErr w:type="spellStart"/>
      <w:r w:rsidRPr="003F183D">
        <w:rPr>
          <w:rFonts w:cs="Calibri"/>
          <w:lang w:val="en-GB"/>
        </w:rPr>
        <w:t>programmes</w:t>
      </w:r>
      <w:proofErr w:type="spellEnd"/>
      <w:r w:rsidRPr="003F183D">
        <w:rPr>
          <w:rFonts w:cs="Calibri"/>
          <w:lang w:val="en-GB"/>
        </w:rPr>
        <w:t xml:space="preserve"> (environmental, economic and social) has been identified that could possibly support the implementation of MoMo4C </w:t>
      </w:r>
      <w:proofErr w:type="spellStart"/>
      <w:r w:rsidRPr="003F183D">
        <w:rPr>
          <w:rFonts w:cs="Calibri"/>
          <w:lang w:val="en-GB"/>
        </w:rPr>
        <w:t>Programme</w:t>
      </w:r>
      <w:proofErr w:type="spellEnd"/>
      <w:r w:rsidRPr="003F183D">
        <w:rPr>
          <w:rFonts w:cs="Calibri"/>
          <w:lang w:val="en-GB"/>
        </w:rPr>
        <w:t xml:space="preserve"> in the JB and SW landscape. </w:t>
      </w:r>
    </w:p>
    <w:p w14:paraId="06F07AD6" w14:textId="77777777" w:rsidR="005B0FBC" w:rsidRPr="003F183D" w:rsidRDefault="005B0FBC" w:rsidP="003F183D">
      <w:pPr>
        <w:jc w:val="both"/>
        <w:rPr>
          <w:rFonts w:cs="Calibri"/>
          <w:lang w:val="en-GB"/>
        </w:rPr>
      </w:pPr>
      <w:bookmarkStart w:id="3" w:name="_Toc23753864"/>
      <w:r w:rsidRPr="003F183D">
        <w:rPr>
          <w:rFonts w:cs="Calibri"/>
          <w:lang w:val="en-GB"/>
        </w:rPr>
        <w:t>Policies that define how farmers can access and use forests and trees</w:t>
      </w:r>
      <w:bookmarkEnd w:id="3"/>
      <w:r w:rsidRPr="003F183D">
        <w:rPr>
          <w:rFonts w:cs="Calibri"/>
          <w:lang w:val="en-GB"/>
        </w:rPr>
        <w:t xml:space="preserve"> </w:t>
      </w:r>
    </w:p>
    <w:p w14:paraId="52A51FAF" w14:textId="77777777" w:rsidR="005B0FBC" w:rsidRPr="003F183D" w:rsidRDefault="005B0FBC" w:rsidP="003F183D">
      <w:pPr>
        <w:jc w:val="both"/>
        <w:rPr>
          <w:rFonts w:cs="Calibri"/>
          <w:lang w:val="en-GB"/>
        </w:rPr>
      </w:pPr>
      <w:r w:rsidRPr="003F183D">
        <w:rPr>
          <w:rFonts w:cs="Calibri"/>
          <w:lang w:val="en-GB"/>
        </w:rPr>
        <w:t>The 2012 Ghana Forest and Wildlife Policy aims at the conservation and sustainable development of forest and wildlife resources for the maintenance of environmental stability and continuous flow of optimum benefits from the socio-cultural and economic goods and services that the forest environment provides to the present and future generations whilst fulfilling Ghana’s commitments under international agreements and conventions. The Policy has five major objectives. These are (</w:t>
      </w:r>
      <w:proofErr w:type="spellStart"/>
      <w:r w:rsidRPr="003F183D">
        <w:rPr>
          <w:rFonts w:cs="Calibri"/>
          <w:lang w:val="en-GB"/>
        </w:rPr>
        <w:t>i</w:t>
      </w:r>
      <w:proofErr w:type="spellEnd"/>
      <w:r w:rsidRPr="003F183D">
        <w:rPr>
          <w:rFonts w:cs="Calibri"/>
          <w:lang w:val="en-GB"/>
        </w:rPr>
        <w:t xml:space="preserve">) manage and enhance the ecological integrity of Ghana’s forest, savannah, wetlands and other ecosystems; (ii) promote the rehabilitation and restoration of degraded landscapes through forest plantation development, enrichment planting, and community forestry; (iii) promote the development of viable forest and wildlife based industries and livelihoods, particularly in the value added processing of forest and wildlife resources; (iv) promote and develop mechanisms for transparent governance, equity sharing and citizens’ participation in forest and wildlife resource management; and (v) promote training, research and technology development that supports sustainable forest management. </w:t>
      </w:r>
    </w:p>
    <w:p w14:paraId="23BD6267" w14:textId="77777777" w:rsidR="005B0FBC" w:rsidRPr="003F183D" w:rsidRDefault="005B0FBC" w:rsidP="003F183D">
      <w:pPr>
        <w:jc w:val="both"/>
        <w:rPr>
          <w:rFonts w:cs="Calibri"/>
          <w:lang w:val="en-GB"/>
        </w:rPr>
      </w:pPr>
    </w:p>
    <w:p w14:paraId="3374DD7D" w14:textId="77777777" w:rsidR="005B0FBC" w:rsidRPr="003F183D" w:rsidRDefault="005B0FBC" w:rsidP="003F183D">
      <w:pPr>
        <w:jc w:val="both"/>
        <w:rPr>
          <w:rFonts w:cs="Calibri"/>
          <w:lang w:val="en-GB"/>
        </w:rPr>
      </w:pPr>
      <w:r w:rsidRPr="003F183D">
        <w:rPr>
          <w:rFonts w:cs="Calibri"/>
          <w:lang w:val="en-GB"/>
        </w:rPr>
        <w:lastRenderedPageBreak/>
        <w:t>The Policy places emphasis on non-consumptive values of the forest and creates a balance between timber production and marketing to satisfy particularly domestic wood demands. The policy seeks to: (</w:t>
      </w:r>
      <w:proofErr w:type="spellStart"/>
      <w:r w:rsidRPr="003F183D">
        <w:rPr>
          <w:rFonts w:cs="Calibri"/>
          <w:lang w:val="en-GB"/>
        </w:rPr>
        <w:t>i</w:t>
      </w:r>
      <w:proofErr w:type="spellEnd"/>
      <w:r w:rsidRPr="003F183D">
        <w:rPr>
          <w:rFonts w:cs="Calibri"/>
          <w:lang w:val="en-GB"/>
        </w:rPr>
        <w:t>) consolidate good governance through accountability and transparency (ii) enhance active participation of communities and land owners in resource management and addressing issues on tree tenure and benefit sharing (iii) promote small and medium forest and wildlife enterprises as a means of job creation for the rural and urban poor (iv) increase biodiversity conservation (v) promote sustainable management of savannah woodland (vi) promote ecotourism development (vii) increase government commitment to degraded landscape restoration through massive forest plantation development schemes (viii) improve research and application of modern and scientific technology in resources management (ix) develop climate change adaptation and mitigation measures, and (x) secure sustainable financing for the forest and wildlife sector.</w:t>
      </w:r>
    </w:p>
    <w:p w14:paraId="2561D69C" w14:textId="77777777" w:rsidR="005B0FBC" w:rsidRPr="003F183D" w:rsidRDefault="005B0FBC" w:rsidP="003F183D">
      <w:pPr>
        <w:jc w:val="both"/>
        <w:rPr>
          <w:rFonts w:cs="Calibri"/>
          <w:lang w:val="en-GB"/>
        </w:rPr>
      </w:pPr>
    </w:p>
    <w:p w14:paraId="3572DC1D" w14:textId="77777777" w:rsidR="005B0FBC" w:rsidRPr="003F183D" w:rsidRDefault="005B0FBC" w:rsidP="003F183D">
      <w:pPr>
        <w:jc w:val="both"/>
        <w:rPr>
          <w:rFonts w:cs="Calibri"/>
          <w:lang w:val="en-GB"/>
        </w:rPr>
      </w:pPr>
      <w:r w:rsidRPr="003F183D">
        <w:rPr>
          <w:rFonts w:cs="Calibri"/>
          <w:lang w:val="en-GB"/>
        </w:rPr>
        <w:t>In line with the 2012 Ghana Forest and Wildlife Policy, the goal of the 2016 Ghana Forestry Development Master Plan (FDMP) is to ensure the conservation and sustainable development of forest and wildlife resources to create a balance between forest products and marketing to satisfy domestic and international demands whilst ensuring good governance and transparent forestry enterprises development, biodiversity conservation and ecotourism development. The policy direction under the FDMP is to develop off-reserve forest production areas with well-defined and clearly established objectives compatible with sustainable forest management principles. This will be achieved by continuous survey and inventory all potential off-reserve timber production areas, and to constitute them into forest management units with active involvement of the local landowners. In view of this policy direction, the plan will develop a framework for managing off-reserve forest areas for production of timber, increase tree cover on farms to enhance carbon stocks and promote climate smart agriculture especially in cocoa production. The plan will seek to update information and conduct biological inventories on off-reserved forests on regular basis and monitor the growth and health of the nation’s forest and wildlife resources.</w:t>
      </w:r>
    </w:p>
    <w:p w14:paraId="12731C47" w14:textId="77777777" w:rsidR="005B0FBC" w:rsidRPr="003F183D" w:rsidRDefault="005B0FBC" w:rsidP="003F183D">
      <w:pPr>
        <w:jc w:val="both"/>
        <w:rPr>
          <w:rFonts w:cs="Calibri"/>
          <w:lang w:val="en-GB"/>
        </w:rPr>
      </w:pPr>
    </w:p>
    <w:p w14:paraId="65109E2B" w14:textId="209F85FA" w:rsidR="005B0FBC" w:rsidRDefault="005B0FBC" w:rsidP="003F183D">
      <w:pPr>
        <w:jc w:val="both"/>
        <w:rPr>
          <w:rFonts w:cs="Calibri"/>
          <w:lang w:val="en-GB"/>
        </w:rPr>
      </w:pPr>
      <w:r w:rsidRPr="003F183D">
        <w:rPr>
          <w:rFonts w:cs="Calibri"/>
          <w:lang w:val="en-GB"/>
        </w:rPr>
        <w:t>The FDMP seeks to support farmers, landowners and civil society groups to initiate the restoration of forest cover in off-reserve areas, and rehabilitate degraded forest landscapes by 2025. In line with this, the FDMP will support local farmers to increase tree farms and fallow areas to enhance carbon stocks within the agricultural landscape by promoting sustainable cocoa and agriculture practices, and payment for environmental services by 2030. In addition, under the FDMP, forest plantation development would be executed by the establishment and management of planted forests through enrichment planting, and management of trees on farms by 2030. The trees on farms intervention are to optimize the productivity and sustainability of smallholder farming systems by developing appropriate technologies that involve trees. This intervention will also provide technical support in the protection of agroforestry systems from pests and diseases that affect the tree component and facilitating uptake of Conservation Agriculture (Climate Smart Agriculture) by smallholder farmers.</w:t>
      </w:r>
    </w:p>
    <w:p w14:paraId="22E37A2D" w14:textId="77777777" w:rsidR="003F183D" w:rsidRPr="003F183D" w:rsidRDefault="003F183D" w:rsidP="003F183D">
      <w:pPr>
        <w:jc w:val="both"/>
        <w:rPr>
          <w:rFonts w:cs="Calibri"/>
          <w:lang w:val="en-GB"/>
        </w:rPr>
      </w:pPr>
    </w:p>
    <w:p w14:paraId="4990B14F" w14:textId="77777777" w:rsidR="005B0FBC" w:rsidRPr="0063633D" w:rsidRDefault="005B0FBC" w:rsidP="005B0FBC">
      <w:pPr>
        <w:spacing w:line="240" w:lineRule="auto"/>
        <w:jc w:val="both"/>
        <w:rPr>
          <w:b/>
          <w:lang w:val="en-US"/>
        </w:rPr>
      </w:pPr>
      <w:bookmarkStart w:id="4" w:name="_Toc23753865"/>
      <w:r w:rsidRPr="0063633D">
        <w:rPr>
          <w:b/>
          <w:lang w:val="en-US"/>
        </w:rPr>
        <w:t>Policies that attempt to influence agricultural production</w:t>
      </w:r>
      <w:bookmarkEnd w:id="4"/>
      <w:r w:rsidRPr="0063633D">
        <w:rPr>
          <w:b/>
          <w:lang w:val="en-US"/>
        </w:rPr>
        <w:t xml:space="preserve"> </w:t>
      </w:r>
    </w:p>
    <w:p w14:paraId="4EEF0DCC" w14:textId="77777777" w:rsidR="005B0FBC" w:rsidRPr="003F183D" w:rsidRDefault="005B0FBC" w:rsidP="003F183D">
      <w:pPr>
        <w:jc w:val="both"/>
        <w:rPr>
          <w:rFonts w:cs="Calibri"/>
          <w:lang w:val="en-GB"/>
        </w:rPr>
      </w:pPr>
      <w:r w:rsidRPr="003F183D">
        <w:rPr>
          <w:rFonts w:cs="Calibri"/>
          <w:lang w:val="en-GB"/>
        </w:rPr>
        <w:t xml:space="preserve">In Ghana, agricultural production is mainly smallholder-based, predominantly subsistence with women accounting for a large proportion of agricultural </w:t>
      </w:r>
      <w:proofErr w:type="spellStart"/>
      <w:r w:rsidRPr="003F183D">
        <w:rPr>
          <w:rFonts w:cs="Calibri"/>
          <w:lang w:val="en-GB"/>
        </w:rPr>
        <w:t>labour</w:t>
      </w:r>
      <w:proofErr w:type="spellEnd"/>
      <w:r w:rsidRPr="003F183D">
        <w:rPr>
          <w:rFonts w:cs="Calibri"/>
          <w:lang w:val="en-GB"/>
        </w:rPr>
        <w:t xml:space="preserve">. The Ghana Shared Growth and Development Agenda (GSGDA) II notes that the agricultural sector “is characterized by low levels of technology and productivity, low income and un-competitiveness in production, processing and distribution” (FAO, 2014). The GSDDA II three pillars, namely private sector competitiveness; human resource development; and, good governance with civic responsibility. Under GSDDA II, agriculture is expected to lead the growth and structural transformation of the economy and maximize the benefits of accelerated growth. Among many others, GSGDA II seeks to improve agricultural productivity; increase agricultural </w:t>
      </w:r>
      <w:proofErr w:type="spellStart"/>
      <w:r w:rsidRPr="003F183D">
        <w:rPr>
          <w:rFonts w:cs="Calibri"/>
          <w:lang w:val="en-GB"/>
        </w:rPr>
        <w:t>competiveness</w:t>
      </w:r>
      <w:proofErr w:type="spellEnd"/>
      <w:r w:rsidRPr="003F183D">
        <w:rPr>
          <w:rFonts w:cs="Calibri"/>
          <w:lang w:val="en-GB"/>
        </w:rPr>
        <w:t xml:space="preserve"> and enhance integration into domestic and international market; improve institutional coordination </w:t>
      </w:r>
      <w:r w:rsidRPr="003F183D">
        <w:rPr>
          <w:rFonts w:cs="Calibri"/>
          <w:lang w:val="en-GB"/>
        </w:rPr>
        <w:lastRenderedPageBreak/>
        <w:t>for agriculture development; and promote the application of Science, Technology and Innovation in all sectors of the economy.</w:t>
      </w:r>
    </w:p>
    <w:p w14:paraId="43F12CBE" w14:textId="77777777" w:rsidR="005B0FBC" w:rsidRPr="0063633D" w:rsidRDefault="005B0FBC" w:rsidP="005B0FBC">
      <w:pPr>
        <w:spacing w:line="240" w:lineRule="auto"/>
        <w:jc w:val="both"/>
        <w:rPr>
          <w:lang w:val="en-US"/>
        </w:rPr>
      </w:pPr>
    </w:p>
    <w:p w14:paraId="164E4281" w14:textId="77777777" w:rsidR="005B0FBC" w:rsidRPr="003F183D" w:rsidRDefault="005B0FBC" w:rsidP="003F183D">
      <w:pPr>
        <w:jc w:val="both"/>
        <w:rPr>
          <w:rFonts w:cs="Calibri"/>
          <w:lang w:val="en-GB"/>
        </w:rPr>
      </w:pPr>
      <w:r w:rsidRPr="003F183D">
        <w:rPr>
          <w:rFonts w:cs="Calibri"/>
          <w:lang w:val="en-GB"/>
        </w:rPr>
        <w:t>GSGDA II laid emphasis on reducing spatial and income inequalities across the country through the establishment of special development zones such as the Savanna Accelerated Development Authority (SADA</w:t>
      </w:r>
      <w:r w:rsidRPr="003F183D">
        <w:rPr>
          <w:rFonts w:cs="Calibri"/>
          <w:lang w:val="en-GB"/>
        </w:rPr>
        <w:footnoteReference w:id="5"/>
      </w:r>
      <w:r w:rsidRPr="003F183D">
        <w:rPr>
          <w:rFonts w:cs="Calibri"/>
          <w:lang w:val="en-GB"/>
        </w:rPr>
        <w:t xml:space="preserve">) SADA has the vision of creating a forested and green North by 2030, doubling the incomes of Northern Ghanaians and reducing the incidence of poverty in the Northern Savannah Ecological Belt to less than 20% within 20 years. SADA promises to be instrumental in mobilizing private sector businesses to take advantage of the investment incentives and opportunities offered by SADA to get involved in a new orientation of the value-chain. Investments in agriculture, </w:t>
      </w:r>
      <w:proofErr w:type="spellStart"/>
      <w:r w:rsidRPr="003F183D">
        <w:rPr>
          <w:rFonts w:cs="Calibri"/>
          <w:lang w:val="en-GB"/>
        </w:rPr>
        <w:t>agro</w:t>
      </w:r>
      <w:proofErr w:type="spellEnd"/>
      <w:r w:rsidRPr="003F183D">
        <w:rPr>
          <w:rFonts w:cs="Calibri"/>
          <w:lang w:val="en-GB"/>
        </w:rPr>
        <w:t>-processing, tourism, mining and services are expected to ensure that more than 90% of the jobs created will be long-term, sustainable employment, especially for the youth.</w:t>
      </w:r>
    </w:p>
    <w:p w14:paraId="5359FB4B" w14:textId="77777777" w:rsidR="005B0FBC" w:rsidRPr="003F183D" w:rsidRDefault="005B0FBC" w:rsidP="003F183D">
      <w:pPr>
        <w:jc w:val="both"/>
        <w:rPr>
          <w:rFonts w:cs="Calibri"/>
          <w:lang w:val="en-GB"/>
        </w:rPr>
      </w:pPr>
    </w:p>
    <w:p w14:paraId="3E0A616F" w14:textId="77777777" w:rsidR="005B0FBC" w:rsidRPr="003F183D" w:rsidRDefault="005B0FBC" w:rsidP="003F183D">
      <w:pPr>
        <w:jc w:val="both"/>
        <w:rPr>
          <w:rFonts w:cs="Calibri"/>
          <w:lang w:val="en-GB"/>
        </w:rPr>
      </w:pPr>
      <w:r w:rsidRPr="003F183D">
        <w:rPr>
          <w:rFonts w:cs="Calibri"/>
          <w:lang w:val="en-GB"/>
        </w:rPr>
        <w:t xml:space="preserve">FASDEP II, emphasizes the sustainable utilization of all resources and commercialization of activities in the agriculture sector with market-driven growth in mind. Enhancement of productivity of the commodity value chain, through the application of science and technology, with environmental sustainability is emphasized. Based on the role of agriculture in the national development framework, the objectives for FASDEP II include food security and emergency preparedness. The specific strategies for the attainment of food security and emergency preparedness are: (1) develop appropriate irrigation schemes for different categories of farmers to ensure production throughout the year; (2) introduce high-yielding and short-duration crops varieties; (3) develop effective post-harvest management strategies, particularly storage facilities, at individual and community levels; (4) target the vulnerable in agriculture, with special </w:t>
      </w:r>
      <w:proofErr w:type="spellStart"/>
      <w:r w:rsidRPr="003F183D">
        <w:rPr>
          <w:rFonts w:cs="Calibri"/>
          <w:lang w:val="en-GB"/>
        </w:rPr>
        <w:t>programmes</w:t>
      </w:r>
      <w:proofErr w:type="spellEnd"/>
      <w:r w:rsidRPr="003F183D">
        <w:rPr>
          <w:rFonts w:cs="Calibri"/>
          <w:lang w:val="en-GB"/>
        </w:rPr>
        <w:t xml:space="preserve"> that will enhance their diversification opportunities, reduce risk and enhance their access to productive resources; and (5) enhance nutrition through coordination of </w:t>
      </w:r>
      <w:proofErr w:type="spellStart"/>
      <w:r w:rsidRPr="003F183D">
        <w:rPr>
          <w:rFonts w:cs="Calibri"/>
          <w:lang w:val="en-GB"/>
        </w:rPr>
        <w:t>programmes</w:t>
      </w:r>
      <w:proofErr w:type="spellEnd"/>
      <w:r w:rsidRPr="003F183D">
        <w:rPr>
          <w:rFonts w:cs="Calibri"/>
          <w:lang w:val="en-GB"/>
        </w:rPr>
        <w:t xml:space="preserve"> and institutions for food security, dissemination of nutrition and health information, and advocacy for food fortification.</w:t>
      </w:r>
    </w:p>
    <w:p w14:paraId="2F48BC76" w14:textId="77777777" w:rsidR="005B0FBC" w:rsidRPr="003F183D" w:rsidRDefault="005B0FBC" w:rsidP="003F183D">
      <w:pPr>
        <w:jc w:val="both"/>
        <w:rPr>
          <w:rFonts w:cs="Calibri"/>
          <w:lang w:val="en-GB"/>
        </w:rPr>
      </w:pPr>
    </w:p>
    <w:p w14:paraId="1472CC3E" w14:textId="77777777" w:rsidR="005B0FBC" w:rsidRPr="003F183D" w:rsidRDefault="005B0FBC" w:rsidP="003F183D">
      <w:pPr>
        <w:jc w:val="both"/>
        <w:rPr>
          <w:rFonts w:cs="Calibri"/>
          <w:lang w:val="en-GB"/>
        </w:rPr>
      </w:pPr>
      <w:r w:rsidRPr="003F183D">
        <w:rPr>
          <w:rFonts w:cs="Calibri"/>
          <w:lang w:val="en-GB"/>
        </w:rPr>
        <w:t xml:space="preserve">The Ghana National Climate Change Policy provides a clearly defined strategic direction for dealing with the challenges of climate change within the current socioeconomic context of Ghana, presenting the opportunities and benefits of a green economy. The three objectives of the Policy are (1) effective adaptation, (2) social development, and (3) mitigation. Progress towards achievement of the objectives rest on seven pillars identified by the Policy. To address the adaptation issues in Ghana, four thematic areas have been identified. These are (1) energy and infrastructure, (2) natural resources management, (3) agriculture and food security, and (4) disaster preparedness and response. </w:t>
      </w:r>
    </w:p>
    <w:p w14:paraId="1312240B" w14:textId="77777777" w:rsidR="005B0FBC" w:rsidRPr="003F183D" w:rsidRDefault="005B0FBC" w:rsidP="003F183D">
      <w:pPr>
        <w:jc w:val="both"/>
        <w:rPr>
          <w:rFonts w:cs="Calibri"/>
          <w:lang w:val="en-GB"/>
        </w:rPr>
      </w:pPr>
    </w:p>
    <w:p w14:paraId="39FD7258" w14:textId="77777777" w:rsidR="005B0FBC" w:rsidRPr="003F183D" w:rsidRDefault="005B0FBC" w:rsidP="003F183D">
      <w:pPr>
        <w:jc w:val="both"/>
        <w:rPr>
          <w:rFonts w:cs="Calibri"/>
          <w:lang w:val="en-GB"/>
        </w:rPr>
      </w:pPr>
      <w:r w:rsidRPr="003F183D">
        <w:rPr>
          <w:rFonts w:cs="Calibri"/>
          <w:lang w:val="en-GB"/>
        </w:rPr>
        <w:t xml:space="preserve">The Policy seeks to develop climate-resilient agriculture and food systems for all </w:t>
      </w:r>
      <w:proofErr w:type="spellStart"/>
      <w:r w:rsidRPr="003F183D">
        <w:rPr>
          <w:rFonts w:cs="Calibri"/>
          <w:lang w:val="en-GB"/>
        </w:rPr>
        <w:t>agro</w:t>
      </w:r>
      <w:proofErr w:type="spellEnd"/>
      <w:r w:rsidRPr="003F183D">
        <w:rPr>
          <w:rFonts w:cs="Calibri"/>
          <w:lang w:val="en-GB"/>
        </w:rPr>
        <w:t xml:space="preserve">-ecological zones; and to develop human resource capacity for climate-resilient agriculture. Among the key interventions for achieving these objectives are to promote diversified land use practices, including agroforestry, dry-land farming, urban/backyard vegetable production, to reduce risk and increase the capacity of farmers to cope with droughts and floods. </w:t>
      </w:r>
    </w:p>
    <w:p w14:paraId="4B186439" w14:textId="77777777" w:rsidR="005B0FBC" w:rsidRPr="003F183D" w:rsidRDefault="005B0FBC" w:rsidP="003F183D">
      <w:pPr>
        <w:jc w:val="both"/>
        <w:rPr>
          <w:rFonts w:cs="Calibri"/>
          <w:lang w:val="en-GB"/>
        </w:rPr>
      </w:pPr>
    </w:p>
    <w:p w14:paraId="01C9B8C6" w14:textId="77777777" w:rsidR="005B0FBC" w:rsidRPr="003F183D" w:rsidRDefault="005B0FBC" w:rsidP="003F183D">
      <w:pPr>
        <w:jc w:val="both"/>
        <w:rPr>
          <w:rFonts w:cs="Calibri"/>
          <w:lang w:val="en-GB"/>
        </w:rPr>
      </w:pPr>
      <w:r w:rsidRPr="003F183D">
        <w:rPr>
          <w:rFonts w:cs="Calibri"/>
          <w:lang w:val="en-GB"/>
        </w:rPr>
        <w:t>Another strategy that attempts to influence agricultural production is Ghana’s REDD+ strategy. The objectives for REDD+ in Ghana include reducing emissions from deforestation and forest degradation, while preserving Ghana’s forests resources and at the same time, transforming the agricultural sector, expanding platforms for cross-sector and public-private collaboration and generating innovative, substantial and sustainable economic and non-economic incentives to improve livelihoods across all regions in Ghana. The goals of REDD+ include efforts to transform Ghana’s major agricultural commodities into climate-smart production systems and landscapes.</w:t>
      </w:r>
    </w:p>
    <w:p w14:paraId="2C943DF3" w14:textId="77777777" w:rsidR="005B0FBC" w:rsidRPr="003F183D" w:rsidRDefault="005B0FBC" w:rsidP="003F183D">
      <w:pPr>
        <w:jc w:val="both"/>
        <w:rPr>
          <w:rFonts w:cs="Calibri"/>
          <w:u w:val="single"/>
          <w:lang w:val="en-GB"/>
        </w:rPr>
      </w:pPr>
      <w:bookmarkStart w:id="5" w:name="_Toc23753866"/>
      <w:r w:rsidRPr="003F183D">
        <w:rPr>
          <w:rFonts w:cs="Calibri"/>
          <w:u w:val="single"/>
          <w:lang w:val="en-GB"/>
        </w:rPr>
        <w:lastRenderedPageBreak/>
        <w:t>Policies for Promoting Small-Scale Enterprises</w:t>
      </w:r>
      <w:bookmarkEnd w:id="5"/>
    </w:p>
    <w:p w14:paraId="4E194B66" w14:textId="77777777" w:rsidR="005B0FBC" w:rsidRPr="003F183D" w:rsidRDefault="005B0FBC" w:rsidP="003F183D">
      <w:pPr>
        <w:jc w:val="both"/>
        <w:rPr>
          <w:rFonts w:cs="Calibri"/>
          <w:lang w:val="en-GB"/>
        </w:rPr>
      </w:pPr>
      <w:r w:rsidRPr="003F183D">
        <w:rPr>
          <w:rFonts w:cs="Calibri"/>
          <w:lang w:val="en-GB"/>
        </w:rPr>
        <w:t xml:space="preserve">This policy seeks to promote Small-Scale Enterprises which are viewed as a mechanism to transition from state-led economy to a private oriented developmental strategy. The Economic Recovery </w:t>
      </w:r>
      <w:proofErr w:type="spellStart"/>
      <w:r w:rsidRPr="003F183D">
        <w:rPr>
          <w:rFonts w:cs="Calibri"/>
          <w:lang w:val="en-GB"/>
        </w:rPr>
        <w:t>Programme</w:t>
      </w:r>
      <w:proofErr w:type="spellEnd"/>
      <w:r w:rsidRPr="003F183D">
        <w:rPr>
          <w:rFonts w:cs="Calibri"/>
          <w:lang w:val="en-GB"/>
        </w:rPr>
        <w:t xml:space="preserve"> instituted in 1983 broadened the institutional support for Small-Scale Enterprises in Ghana (AfDB, 2002). The National Board for Small Scale Industries (NBSSI), a non-profit public sector organization was established within the Ministry of Trade and Industry to address the needs of small businesses in 1985. NBSSI has its Head Office in Accra, secretariats in all the regional capitals and Business Advisory Centers (BACs) in all district capitals implementing the Rural Enterprise </w:t>
      </w:r>
      <w:proofErr w:type="spellStart"/>
      <w:r w:rsidRPr="003F183D">
        <w:rPr>
          <w:rFonts w:cs="Calibri"/>
          <w:lang w:val="en-GB"/>
        </w:rPr>
        <w:t>Programmes</w:t>
      </w:r>
      <w:proofErr w:type="spellEnd"/>
      <w:r w:rsidRPr="003F183D">
        <w:rPr>
          <w:rFonts w:cs="Calibri"/>
          <w:lang w:val="en-GB"/>
        </w:rPr>
        <w:t xml:space="preserve"> (REP) by Ghana government </w:t>
      </w:r>
    </w:p>
    <w:p w14:paraId="3B6E63C4" w14:textId="77777777" w:rsidR="005B0FBC" w:rsidRPr="003F183D" w:rsidRDefault="005B0FBC" w:rsidP="003F183D">
      <w:pPr>
        <w:jc w:val="both"/>
        <w:rPr>
          <w:rFonts w:cs="Calibri"/>
          <w:lang w:val="en-GB"/>
        </w:rPr>
      </w:pPr>
      <w:r w:rsidRPr="003F183D">
        <w:rPr>
          <w:rFonts w:cs="Calibri"/>
          <w:lang w:val="en-GB"/>
        </w:rPr>
        <w:t>The Rural Enterprise Program (REP) seeks to improve the livelihoods and incomes of rural poor micro and small entrepreneurs. The development objective is to increase the number of rural Medium and Small-Scale Enterprises (MSEs) that generate profit, growth and employment opportunities. The project has four outcomes, namely: (1) business development services accessible to MSEs in rural districts; (2) technical skills transferred and technologies disseminated; (3) access of MSEs to finance ensured; and (4) MSE support institutions and policies in place.</w:t>
      </w:r>
    </w:p>
    <w:p w14:paraId="14F63CA2" w14:textId="77777777" w:rsidR="005B0FBC" w:rsidRPr="003F183D" w:rsidRDefault="005B0FBC" w:rsidP="003F183D">
      <w:pPr>
        <w:jc w:val="both"/>
        <w:rPr>
          <w:rFonts w:cs="Calibri"/>
          <w:lang w:val="en-GB"/>
        </w:rPr>
      </w:pPr>
      <w:r w:rsidRPr="003F183D">
        <w:rPr>
          <w:rFonts w:cs="Calibri"/>
          <w:lang w:val="en-GB"/>
        </w:rPr>
        <w:t xml:space="preserve">The National Entrepreneurship and Innovation </w:t>
      </w:r>
      <w:proofErr w:type="spellStart"/>
      <w:r w:rsidRPr="003F183D">
        <w:rPr>
          <w:rFonts w:cs="Calibri"/>
          <w:lang w:val="en-GB"/>
        </w:rPr>
        <w:t>Programme</w:t>
      </w:r>
      <w:proofErr w:type="spellEnd"/>
      <w:r w:rsidRPr="003F183D">
        <w:rPr>
          <w:rFonts w:cs="Calibri"/>
          <w:lang w:val="en-GB"/>
        </w:rPr>
        <w:t xml:space="preserve"> (NEIP) is a flagship policy initiative of the government of Ghana with the primary objective of providing an integrated national support for start-ups and small businesses. NEIP primarily focuses on providing business development services; startup incubators and funding for young businesses to enable them grow and become successful. The National Entrepreneurship and Innovation </w:t>
      </w:r>
      <w:proofErr w:type="spellStart"/>
      <w:r w:rsidRPr="003F183D">
        <w:rPr>
          <w:rFonts w:cs="Calibri"/>
          <w:lang w:val="en-GB"/>
        </w:rPr>
        <w:t>Programme</w:t>
      </w:r>
      <w:proofErr w:type="spellEnd"/>
      <w:r w:rsidRPr="003F183D">
        <w:rPr>
          <w:rFonts w:cs="Calibri"/>
          <w:lang w:val="en-GB"/>
        </w:rPr>
        <w:t xml:space="preserve"> (NEIP) is therefore set within the context of Ghana’s long-term strategic vision of consolidating its middle-income status, building an industry-driven economy capable of providing decent jobs that are suitable and sustainable for development.</w:t>
      </w:r>
    </w:p>
    <w:p w14:paraId="4580D1F1" w14:textId="77777777" w:rsidR="005B0FBC" w:rsidRPr="003F183D" w:rsidRDefault="005B0FBC" w:rsidP="003F183D">
      <w:pPr>
        <w:jc w:val="both"/>
        <w:rPr>
          <w:rFonts w:cs="Calibri"/>
          <w:lang w:val="en-GB"/>
        </w:rPr>
      </w:pPr>
      <w:r w:rsidRPr="003F183D">
        <w:rPr>
          <w:rFonts w:cs="Calibri"/>
          <w:lang w:val="en-GB"/>
        </w:rPr>
        <w:t>This medium-term Private Sector Development Strategy (PSDS) clarifies the respective roles of the State and of the private sector in achieving the Golden Age of Business in the country. The strategy is designed to address constraints faced by micro and small enterprises, which encompass most agribusinesses. The agricultural sector is expected to benefit from the broad-based pro-market reforms of the PSDS.</w:t>
      </w:r>
    </w:p>
    <w:p w14:paraId="7A02E224" w14:textId="77777777" w:rsidR="00AE5BC8" w:rsidRPr="005B0FBC" w:rsidRDefault="00AE5BC8" w:rsidP="003F183D">
      <w:pPr>
        <w:pStyle w:val="Kop2"/>
      </w:pPr>
    </w:p>
    <w:p w14:paraId="5BAA65E1" w14:textId="77777777" w:rsidR="00F6756E" w:rsidRPr="00F6756E" w:rsidRDefault="00F6756E" w:rsidP="003F183D">
      <w:pPr>
        <w:pStyle w:val="Kop2"/>
      </w:pPr>
      <w:r>
        <w:t>Climate risk assessment</w:t>
      </w:r>
    </w:p>
    <w:p w14:paraId="33134AAC" w14:textId="77777777" w:rsidR="00F6756E" w:rsidRPr="00F6756E" w:rsidRDefault="00F6756E" w:rsidP="00AF2576">
      <w:pPr>
        <w:rPr>
          <w:lang w:val="en-GB" w:eastAsia="nl-NL"/>
        </w:rPr>
      </w:pPr>
    </w:p>
    <w:p w14:paraId="06246B79" w14:textId="77777777" w:rsidR="005B0FBC" w:rsidRPr="003F183D" w:rsidRDefault="005B0FBC" w:rsidP="003F183D">
      <w:pPr>
        <w:jc w:val="both"/>
        <w:rPr>
          <w:rFonts w:cs="Calibri"/>
          <w:lang w:val="en-GB"/>
        </w:rPr>
      </w:pPr>
      <w:r w:rsidRPr="003F183D">
        <w:rPr>
          <w:rFonts w:cs="Calibri"/>
          <w:lang w:val="en-GB"/>
        </w:rPr>
        <w:t xml:space="preserve">A preliminary climate risk assessment was performed for the JB-SW landscape. This will be validated through a participative assessment during the first six months of the </w:t>
      </w:r>
      <w:proofErr w:type="spellStart"/>
      <w:r w:rsidRPr="003F183D">
        <w:rPr>
          <w:rFonts w:cs="Calibri"/>
          <w:lang w:val="en-GB"/>
        </w:rPr>
        <w:t>programme</w:t>
      </w:r>
      <w:proofErr w:type="spellEnd"/>
      <w:r w:rsidRPr="003F183D">
        <w:rPr>
          <w:rFonts w:cs="Calibri"/>
          <w:lang w:val="en-GB"/>
        </w:rPr>
        <w:t xml:space="preserve"> implementation, following a methodology currently being validated in Indonesia. </w:t>
      </w:r>
    </w:p>
    <w:p w14:paraId="3E3BC345" w14:textId="77777777" w:rsidR="005B0FBC" w:rsidRPr="003F183D" w:rsidRDefault="005B0FBC" w:rsidP="003F183D">
      <w:pPr>
        <w:jc w:val="both"/>
        <w:rPr>
          <w:rFonts w:cs="Calibri"/>
          <w:lang w:val="en-GB"/>
        </w:rPr>
      </w:pPr>
    </w:p>
    <w:p w14:paraId="15BEFE64" w14:textId="77777777" w:rsidR="005B0FBC" w:rsidRPr="003F183D" w:rsidRDefault="005B0FBC" w:rsidP="003F183D">
      <w:pPr>
        <w:jc w:val="both"/>
        <w:rPr>
          <w:rFonts w:cs="Calibri"/>
          <w:lang w:val="en-GB"/>
        </w:rPr>
      </w:pPr>
      <w:bookmarkStart w:id="6" w:name="_Toc23753870"/>
      <w:r w:rsidRPr="003F183D">
        <w:rPr>
          <w:rFonts w:cs="Calibri"/>
          <w:lang w:val="en-GB"/>
        </w:rPr>
        <w:t>Review of existing literature on projected climate variability, vulnerability and impacts</w:t>
      </w:r>
      <w:bookmarkEnd w:id="6"/>
    </w:p>
    <w:p w14:paraId="5B321160" w14:textId="77777777" w:rsidR="005B0FBC" w:rsidRPr="003F183D" w:rsidRDefault="005B0FBC" w:rsidP="003F183D">
      <w:pPr>
        <w:jc w:val="both"/>
        <w:rPr>
          <w:rFonts w:cs="Calibri"/>
          <w:lang w:val="en-GB"/>
        </w:rPr>
      </w:pPr>
      <w:r w:rsidRPr="003F183D">
        <w:rPr>
          <w:rFonts w:cs="Calibri"/>
          <w:lang w:val="en-GB"/>
        </w:rPr>
        <w:t>Climate change is considered a major threat to sustainable growth and development in Ghana due to its direct impact on crop production, which is largely rain-fed. Mean annual temperature has increased by 1.0°C across Ghana since 1960. It is projected that mean temperature for Ghana in the near future (2040) will increase by 1.02°C, in mid future (2060) by 1.5°C and in the far future (2080) by 1.8°C (</w:t>
      </w:r>
      <w:proofErr w:type="spellStart"/>
      <w:r w:rsidRPr="003F183D">
        <w:rPr>
          <w:rFonts w:cs="Calibri"/>
          <w:lang w:val="en-GB"/>
        </w:rPr>
        <w:t>GoG</w:t>
      </w:r>
      <w:proofErr w:type="spellEnd"/>
      <w:r w:rsidRPr="003F183D">
        <w:rPr>
          <w:rFonts w:cs="Calibri"/>
          <w:lang w:val="en-GB"/>
        </w:rPr>
        <w:t>, 2015). Across most ecological zones of Ghana, dry season mean temperatures are projected to rise by about 1.5 to 2.0 °C to about 3 °C by 2080. Based on historical patterns (1980-2010), rainfall across the country has been projected to decrease by 2.9 % in the near future (2040), followed by slight increase in the mid future (2060) by 1.1% and later decrease in the far future (2080) by 1.7% (</w:t>
      </w:r>
      <w:proofErr w:type="spellStart"/>
      <w:r w:rsidRPr="003F183D">
        <w:rPr>
          <w:rFonts w:cs="Calibri"/>
          <w:lang w:val="en-GB"/>
        </w:rPr>
        <w:t>GoG</w:t>
      </w:r>
      <w:proofErr w:type="spellEnd"/>
      <w:r w:rsidRPr="003F183D">
        <w:rPr>
          <w:rFonts w:cs="Calibri"/>
          <w:lang w:val="en-GB"/>
        </w:rPr>
        <w:t>, 2015). There is uncertainty in climate change projections, especially for future rainfall. Inter annual variability is associated with the rainfall of Ghana. However, it is expected that drought events would increase in most regions in Ghana. Already dry season rainfall in some forest reserves have decreased by about 20% (post 1970s) (</w:t>
      </w:r>
      <w:proofErr w:type="spellStart"/>
      <w:r w:rsidRPr="003F183D">
        <w:rPr>
          <w:rFonts w:cs="Calibri"/>
          <w:lang w:val="en-GB"/>
        </w:rPr>
        <w:t>Fauset</w:t>
      </w:r>
      <w:proofErr w:type="spellEnd"/>
      <w:r w:rsidRPr="003F183D">
        <w:rPr>
          <w:rFonts w:cs="Calibri"/>
          <w:lang w:val="en-GB"/>
        </w:rPr>
        <w:t xml:space="preserve"> et al 2012). </w:t>
      </w:r>
    </w:p>
    <w:p w14:paraId="2AD181EB" w14:textId="77777777" w:rsidR="005B0FBC" w:rsidRDefault="005B0FBC" w:rsidP="004065FC">
      <w:pPr>
        <w:rPr>
          <w:lang w:val="en-US"/>
        </w:rPr>
      </w:pPr>
    </w:p>
    <w:p w14:paraId="4271D961" w14:textId="77777777" w:rsidR="005B0FBC" w:rsidRPr="003F183D" w:rsidRDefault="005B0FBC" w:rsidP="003F183D">
      <w:pPr>
        <w:jc w:val="both"/>
        <w:rPr>
          <w:rFonts w:cs="Calibri"/>
          <w:lang w:val="en-GB"/>
        </w:rPr>
        <w:sectPr w:rsidR="005B0FBC" w:rsidRPr="003F183D" w:rsidSect="00AA063E">
          <w:pgSz w:w="11906" w:h="16838"/>
          <w:pgMar w:top="2098" w:right="1247" w:bottom="2183" w:left="1247" w:header="0" w:footer="403" w:gutter="0"/>
          <w:cols w:space="720"/>
          <w:titlePg/>
          <w:docGrid w:linePitch="360"/>
        </w:sectPr>
      </w:pPr>
      <w:r w:rsidRPr="003F183D">
        <w:rPr>
          <w:rFonts w:cs="Calibri"/>
          <w:lang w:val="en-GB"/>
        </w:rPr>
        <w:lastRenderedPageBreak/>
        <w:t xml:space="preserve">Projected rainfall for the semi-deciduous (SDFZ) and high rainforest zones (HRFZ) of Ghana indicates a decline in rainfall by 2%, 11% and 19% in the years 2020, 2050 and 2080 respectively in the SDFZ and 3%, 12% and 20% in the HRFZ (UNDP, </w:t>
      </w:r>
      <w:proofErr w:type="spellStart"/>
      <w:r w:rsidRPr="003F183D">
        <w:rPr>
          <w:rFonts w:cs="Calibri"/>
          <w:lang w:val="en-GB"/>
        </w:rPr>
        <w:t>nd</w:t>
      </w:r>
      <w:proofErr w:type="spellEnd"/>
      <w:r w:rsidRPr="003F183D">
        <w:rPr>
          <w:rFonts w:cs="Calibri"/>
          <w:lang w:val="en-GB"/>
        </w:rPr>
        <w:t xml:space="preserve">). These projections are likely to have large consequences for agriculture especially cocoa production in the landscape. The natural habitat of the cocoa tree is in the lower </w:t>
      </w:r>
      <w:proofErr w:type="spellStart"/>
      <w:r w:rsidRPr="003F183D">
        <w:rPr>
          <w:rFonts w:cs="Calibri"/>
          <w:lang w:val="en-GB"/>
        </w:rPr>
        <w:t>storey</w:t>
      </w:r>
      <w:proofErr w:type="spellEnd"/>
      <w:r w:rsidRPr="003F183D">
        <w:rPr>
          <w:rFonts w:cs="Calibri"/>
          <w:lang w:val="en-GB"/>
        </w:rPr>
        <w:t xml:space="preserve"> of the evergreen rainforest, and climatic factors, particularly temperature and rainfall, are important for optimum growth. Cocoa plants respond well to relatively high temperatures, with a maximum annual average of 30 - 32ºC and a minimum average of 18 - 21ºC (</w:t>
      </w:r>
      <w:proofErr w:type="spellStart"/>
      <w:r w:rsidRPr="003F183D">
        <w:rPr>
          <w:rFonts w:cs="Calibri"/>
          <w:lang w:val="en-GB"/>
        </w:rPr>
        <w:t>Wiah</w:t>
      </w:r>
      <w:proofErr w:type="spellEnd"/>
      <w:r w:rsidRPr="003F183D">
        <w:rPr>
          <w:rFonts w:cs="Calibri"/>
          <w:lang w:val="en-GB"/>
        </w:rPr>
        <w:t xml:space="preserve"> and </w:t>
      </w:r>
      <w:proofErr w:type="spellStart"/>
      <w:r w:rsidRPr="003F183D">
        <w:rPr>
          <w:rFonts w:cs="Calibri"/>
          <w:lang w:val="en-GB"/>
        </w:rPr>
        <w:t>Twumasi-Ankrah</w:t>
      </w:r>
      <w:proofErr w:type="spellEnd"/>
      <w:r w:rsidRPr="003F183D">
        <w:rPr>
          <w:rFonts w:cs="Calibri"/>
          <w:lang w:val="en-GB"/>
        </w:rPr>
        <w:t xml:space="preserve"> 2017). Variability in temperature and rainfall may reduce productivity (</w:t>
      </w:r>
      <w:proofErr w:type="spellStart"/>
      <w:r w:rsidRPr="003F183D">
        <w:rPr>
          <w:rFonts w:cs="Calibri"/>
          <w:lang w:val="en-GB"/>
        </w:rPr>
        <w:t>Wiah</w:t>
      </w:r>
      <w:proofErr w:type="spellEnd"/>
      <w:r w:rsidRPr="003F183D">
        <w:rPr>
          <w:rFonts w:cs="Calibri"/>
          <w:lang w:val="en-GB"/>
        </w:rPr>
        <w:t xml:space="preserve"> and </w:t>
      </w:r>
      <w:proofErr w:type="spellStart"/>
      <w:r w:rsidRPr="003F183D">
        <w:rPr>
          <w:rFonts w:cs="Calibri"/>
          <w:lang w:val="en-GB"/>
        </w:rPr>
        <w:t>Twumasi-Ankrah</w:t>
      </w:r>
      <w:proofErr w:type="spellEnd"/>
      <w:r w:rsidRPr="003F183D">
        <w:rPr>
          <w:rFonts w:cs="Calibri"/>
          <w:lang w:val="en-GB"/>
        </w:rPr>
        <w:t xml:space="preserve"> 2017) and affects the cocoa value chain. It has been predicted that drop in cocoa yield will be 14% in 2020 and 28% in 2050 (UNDP, </w:t>
      </w:r>
      <w:proofErr w:type="spellStart"/>
      <w:r w:rsidRPr="003F183D">
        <w:rPr>
          <w:rFonts w:cs="Calibri"/>
          <w:lang w:val="en-GB"/>
        </w:rPr>
        <w:t>nd</w:t>
      </w:r>
      <w:proofErr w:type="spellEnd"/>
      <w:r w:rsidRPr="003F183D">
        <w:rPr>
          <w:rFonts w:cs="Calibri"/>
          <w:lang w:val="en-GB"/>
        </w:rPr>
        <w:t xml:space="preserve">). It has also been predicted that by 2080, moisture will be inadequate for profitable cocoa production in Ghana if no effort is made to reverse the current trends. There has been consistent reduction in the production of cocoa between 1990 and 2009 due to reduction in rainfall pattern and high temperatures and prolong droughts, which have caused most cocoa trees to die (Boon and </w:t>
      </w:r>
      <w:proofErr w:type="spellStart"/>
      <w:r w:rsidRPr="003F183D">
        <w:rPr>
          <w:rFonts w:cs="Calibri"/>
          <w:lang w:val="en-GB"/>
        </w:rPr>
        <w:t>Ahenkan</w:t>
      </w:r>
      <w:proofErr w:type="spellEnd"/>
      <w:r w:rsidRPr="003F183D">
        <w:rPr>
          <w:rFonts w:cs="Calibri"/>
          <w:lang w:val="en-GB"/>
        </w:rPr>
        <w:t xml:space="preserve"> 2011). Table </w:t>
      </w:r>
      <w:r w:rsidR="00DA0F28" w:rsidRPr="003F183D">
        <w:rPr>
          <w:rFonts w:cs="Calibri"/>
          <w:lang w:val="en-GB"/>
        </w:rPr>
        <w:t>4</w:t>
      </w:r>
      <w:r w:rsidRPr="003F183D">
        <w:rPr>
          <w:rFonts w:cs="Calibri"/>
          <w:lang w:val="en-GB"/>
        </w:rPr>
        <w:t xml:space="preserve"> summarizes projected changes and resulting vulnerabilities of land uses in the landscape to changes in specific climate variables. In Table </w:t>
      </w:r>
      <w:r w:rsidR="00DA0F28" w:rsidRPr="003F183D">
        <w:rPr>
          <w:rFonts w:cs="Calibri"/>
          <w:lang w:val="en-GB"/>
        </w:rPr>
        <w:t>5</w:t>
      </w:r>
      <w:r w:rsidRPr="003F183D">
        <w:rPr>
          <w:rFonts w:cs="Calibri"/>
          <w:lang w:val="en-GB"/>
        </w:rPr>
        <w:t xml:space="preserve"> we summarize the current status of factors that may influence the vulnerability in the landscape. </w:t>
      </w:r>
    </w:p>
    <w:p w14:paraId="24AD433E" w14:textId="4BC7CB4D" w:rsidR="005B0FBC" w:rsidRDefault="005B0FBC" w:rsidP="005B0FBC">
      <w:pPr>
        <w:pStyle w:val="Bijschrift"/>
        <w:keepNext/>
      </w:pPr>
      <w:r>
        <w:lastRenderedPageBreak/>
        <w:t xml:space="preserve">Table </w:t>
      </w:r>
      <w:r>
        <w:fldChar w:fldCharType="begin"/>
      </w:r>
      <w:r>
        <w:instrText xml:space="preserve"> SEQ Table \* ARABIC </w:instrText>
      </w:r>
      <w:r>
        <w:fldChar w:fldCharType="separate"/>
      </w:r>
      <w:r w:rsidR="00D12D4D">
        <w:rPr>
          <w:noProof/>
        </w:rPr>
        <w:t>5</w:t>
      </w:r>
      <w:r>
        <w:fldChar w:fldCharType="end"/>
      </w:r>
      <w:r>
        <w:t xml:space="preserve">: </w:t>
      </w:r>
      <w:r w:rsidRPr="0063633D">
        <w:rPr>
          <w:lang w:val="en-US"/>
        </w:rPr>
        <w:t>Projected changes and resulting vulnerabilities of land uses in the landscape to changes in specific climate variables.</w:t>
      </w:r>
    </w:p>
    <w:tbl>
      <w:tblPr>
        <w:tblW w:w="537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79"/>
        <w:gridCol w:w="1382"/>
        <w:gridCol w:w="4742"/>
        <w:gridCol w:w="5693"/>
      </w:tblGrid>
      <w:tr w:rsidR="005B0FBC" w:rsidRPr="008E1239" w14:paraId="220EE2FA" w14:textId="77777777" w:rsidTr="00DA0F28">
        <w:trPr>
          <w:trHeight w:val="580"/>
        </w:trPr>
        <w:tc>
          <w:tcPr>
            <w:tcW w:w="622" w:type="pct"/>
            <w:shd w:val="clear" w:color="auto" w:fill="auto"/>
            <w:hideMark/>
          </w:tcPr>
          <w:p w14:paraId="25F975AB"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Climate variability and projection</w:t>
            </w:r>
          </w:p>
        </w:tc>
        <w:tc>
          <w:tcPr>
            <w:tcW w:w="512" w:type="pct"/>
            <w:shd w:val="clear" w:color="auto" w:fill="auto"/>
            <w:hideMark/>
          </w:tcPr>
          <w:p w14:paraId="6E23FA49"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Elements</w:t>
            </w:r>
          </w:p>
        </w:tc>
        <w:tc>
          <w:tcPr>
            <w:tcW w:w="1757" w:type="pct"/>
            <w:shd w:val="clear" w:color="auto" w:fill="auto"/>
            <w:hideMark/>
          </w:tcPr>
          <w:p w14:paraId="7545A233" w14:textId="77777777" w:rsidR="005B0FBC" w:rsidRPr="0063633D" w:rsidRDefault="005B0FBC" w:rsidP="005E0688">
            <w:pPr>
              <w:spacing w:line="240" w:lineRule="auto"/>
              <w:jc w:val="center"/>
              <w:rPr>
                <w:b/>
                <w:bCs/>
                <w:i/>
                <w:iCs/>
                <w:color w:val="000000"/>
                <w:lang w:val="en-GB" w:eastAsia="en-GB"/>
              </w:rPr>
            </w:pPr>
            <w:r w:rsidRPr="0063633D">
              <w:rPr>
                <w:b/>
                <w:bCs/>
                <w:color w:val="000000"/>
                <w:lang w:val="en-GB" w:eastAsia="en-GB"/>
              </w:rPr>
              <w:t>Climate Risk and Adaptation Profile  Ghana</w:t>
            </w:r>
          </w:p>
          <w:p w14:paraId="0B6C7D16"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(World Bank, 2011)</w:t>
            </w:r>
          </w:p>
        </w:tc>
        <w:tc>
          <w:tcPr>
            <w:tcW w:w="2109" w:type="pct"/>
            <w:shd w:val="clear" w:color="auto" w:fill="auto"/>
            <w:hideMark/>
          </w:tcPr>
          <w:p w14:paraId="5C076086"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 xml:space="preserve">Impacts of CC in </w:t>
            </w:r>
            <w:proofErr w:type="spellStart"/>
            <w:r w:rsidRPr="0063633D">
              <w:rPr>
                <w:b/>
                <w:bCs/>
                <w:color w:val="000000"/>
                <w:lang w:val="en-GB" w:eastAsia="en-GB"/>
              </w:rPr>
              <w:t>Juabeso</w:t>
            </w:r>
            <w:proofErr w:type="spellEnd"/>
            <w:r w:rsidRPr="0063633D">
              <w:rPr>
                <w:b/>
                <w:bCs/>
                <w:color w:val="000000"/>
                <w:lang w:val="en-GB" w:eastAsia="en-GB"/>
              </w:rPr>
              <w:t xml:space="preserve">-Bia and </w:t>
            </w:r>
            <w:proofErr w:type="spellStart"/>
            <w:r w:rsidRPr="0063633D">
              <w:rPr>
                <w:b/>
                <w:bCs/>
                <w:color w:val="000000"/>
                <w:lang w:val="en-GB" w:eastAsia="en-GB"/>
              </w:rPr>
              <w:t>Sefwi</w:t>
            </w:r>
            <w:proofErr w:type="spellEnd"/>
            <w:r w:rsidRPr="0063633D">
              <w:rPr>
                <w:b/>
                <w:bCs/>
                <w:color w:val="000000"/>
                <w:lang w:val="en-GB" w:eastAsia="en-GB"/>
              </w:rPr>
              <w:t xml:space="preserve"> </w:t>
            </w:r>
            <w:proofErr w:type="spellStart"/>
            <w:r w:rsidRPr="0063633D">
              <w:rPr>
                <w:b/>
                <w:bCs/>
                <w:color w:val="000000"/>
                <w:lang w:val="en-GB" w:eastAsia="en-GB"/>
              </w:rPr>
              <w:t>Wiawso</w:t>
            </w:r>
            <w:proofErr w:type="spellEnd"/>
            <w:r w:rsidRPr="0063633D">
              <w:rPr>
                <w:b/>
                <w:bCs/>
                <w:color w:val="000000"/>
                <w:lang w:val="en-GB" w:eastAsia="en-GB"/>
              </w:rPr>
              <w:t xml:space="preserve"> Landscape </w:t>
            </w:r>
          </w:p>
        </w:tc>
      </w:tr>
      <w:tr w:rsidR="005B0FBC" w:rsidRPr="008E1239" w14:paraId="1D2E2B98" w14:textId="77777777" w:rsidTr="00DA0F28">
        <w:trPr>
          <w:trHeight w:val="870"/>
        </w:trPr>
        <w:tc>
          <w:tcPr>
            <w:tcW w:w="622" w:type="pct"/>
            <w:vMerge w:val="restart"/>
            <w:shd w:val="clear" w:color="auto" w:fill="F2F2F2"/>
            <w:hideMark/>
          </w:tcPr>
          <w:p w14:paraId="302652AF"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Expected climatic changes and variability</w:t>
            </w:r>
          </w:p>
        </w:tc>
        <w:tc>
          <w:tcPr>
            <w:tcW w:w="512" w:type="pct"/>
            <w:shd w:val="clear" w:color="auto" w:fill="F2F2F2"/>
            <w:hideMark/>
          </w:tcPr>
          <w:p w14:paraId="493ED073" w14:textId="77777777" w:rsidR="005B0FBC" w:rsidRPr="0063633D" w:rsidRDefault="005B0FBC" w:rsidP="005E0688">
            <w:pPr>
              <w:spacing w:line="240" w:lineRule="auto"/>
              <w:rPr>
                <w:color w:val="000000"/>
                <w:lang w:val="en-GB" w:eastAsia="en-GB"/>
              </w:rPr>
            </w:pPr>
            <w:r w:rsidRPr="0063633D">
              <w:rPr>
                <w:color w:val="000000"/>
                <w:lang w:val="en-GB" w:eastAsia="en-GB"/>
              </w:rPr>
              <w:t>Temperature</w:t>
            </w:r>
          </w:p>
        </w:tc>
        <w:tc>
          <w:tcPr>
            <w:tcW w:w="1757" w:type="pct"/>
            <w:shd w:val="clear" w:color="auto" w:fill="F2F2F2"/>
            <w:hideMark/>
          </w:tcPr>
          <w:p w14:paraId="09CFB38F" w14:textId="77777777" w:rsidR="005B0FBC" w:rsidRPr="0063633D" w:rsidRDefault="005B0FBC" w:rsidP="005E0688">
            <w:pPr>
              <w:spacing w:line="240" w:lineRule="auto"/>
              <w:rPr>
                <w:color w:val="000000"/>
                <w:lang w:val="en-GB" w:eastAsia="en-GB"/>
              </w:rPr>
            </w:pPr>
            <w:r w:rsidRPr="0063633D">
              <w:rPr>
                <w:color w:val="000000"/>
                <w:lang w:val="en-GB" w:eastAsia="en-GB"/>
              </w:rPr>
              <w:t>Mean annual temperature has increased by 1.0°C across Ghana since 1960. It is projected that mean temperature for Ghana in the near future (2040) will increase by 1.02°C, in mid future (2060) by 1.5°C and in the far future (2080) by 1.8°C (</w:t>
            </w:r>
            <w:proofErr w:type="spellStart"/>
            <w:r w:rsidRPr="0063633D">
              <w:rPr>
                <w:color w:val="000000"/>
                <w:lang w:val="en-GB" w:eastAsia="en-GB"/>
              </w:rPr>
              <w:t>GoG</w:t>
            </w:r>
            <w:proofErr w:type="spellEnd"/>
            <w:r w:rsidRPr="0063633D">
              <w:rPr>
                <w:color w:val="000000"/>
                <w:lang w:val="en-GB" w:eastAsia="en-GB"/>
              </w:rPr>
              <w:t>, 2015)</w:t>
            </w:r>
          </w:p>
        </w:tc>
        <w:tc>
          <w:tcPr>
            <w:tcW w:w="2109" w:type="pct"/>
            <w:shd w:val="clear" w:color="auto" w:fill="F2F2F2"/>
            <w:hideMark/>
          </w:tcPr>
          <w:p w14:paraId="00281805" w14:textId="77777777" w:rsidR="005B0FBC" w:rsidRPr="0063633D" w:rsidRDefault="005B0FBC" w:rsidP="005E0688">
            <w:pPr>
              <w:spacing w:line="240" w:lineRule="auto"/>
              <w:rPr>
                <w:color w:val="000000"/>
                <w:lang w:val="en-GB" w:eastAsia="en-GB"/>
              </w:rPr>
            </w:pPr>
            <w:r w:rsidRPr="0063633D">
              <w:rPr>
                <w:color w:val="000000"/>
                <w:lang w:val="en-GB" w:eastAsia="en-GB"/>
              </w:rPr>
              <w:t xml:space="preserve">Low production of cocoa and other food crops due to expected increase in temperature and reduction in dry season rainfall( </w:t>
            </w:r>
            <w:proofErr w:type="spellStart"/>
            <w:r w:rsidRPr="0063633D">
              <w:rPr>
                <w:color w:val="000000"/>
                <w:lang w:val="en-GB" w:eastAsia="en-GB"/>
              </w:rPr>
              <w:t>Fauset</w:t>
            </w:r>
            <w:proofErr w:type="spellEnd"/>
            <w:r w:rsidRPr="0063633D">
              <w:rPr>
                <w:color w:val="000000"/>
                <w:lang w:val="en-GB" w:eastAsia="en-GB"/>
              </w:rPr>
              <w:t xml:space="preserve"> et al 2012)</w:t>
            </w:r>
          </w:p>
        </w:tc>
      </w:tr>
      <w:tr w:rsidR="005B0FBC" w:rsidRPr="008E1239" w14:paraId="2F6DBA30" w14:textId="77777777" w:rsidTr="00DA0F28">
        <w:trPr>
          <w:trHeight w:val="870"/>
        </w:trPr>
        <w:tc>
          <w:tcPr>
            <w:tcW w:w="622" w:type="pct"/>
            <w:vMerge/>
            <w:shd w:val="clear" w:color="auto" w:fill="auto"/>
            <w:hideMark/>
          </w:tcPr>
          <w:p w14:paraId="0F4B2D68" w14:textId="77777777" w:rsidR="005B0FBC" w:rsidRPr="0063633D" w:rsidRDefault="005B0FBC" w:rsidP="005E0688">
            <w:pPr>
              <w:spacing w:line="240" w:lineRule="auto"/>
              <w:rPr>
                <w:b/>
                <w:bCs/>
                <w:color w:val="000000"/>
                <w:lang w:val="en-GB" w:eastAsia="en-GB"/>
              </w:rPr>
            </w:pPr>
          </w:p>
        </w:tc>
        <w:tc>
          <w:tcPr>
            <w:tcW w:w="512" w:type="pct"/>
            <w:shd w:val="clear" w:color="auto" w:fill="auto"/>
            <w:hideMark/>
          </w:tcPr>
          <w:p w14:paraId="52199FB5" w14:textId="77777777" w:rsidR="005B0FBC" w:rsidRPr="0063633D" w:rsidRDefault="005B0FBC" w:rsidP="005E0688">
            <w:pPr>
              <w:spacing w:line="240" w:lineRule="auto"/>
              <w:rPr>
                <w:color w:val="000000"/>
                <w:lang w:val="en-GB" w:eastAsia="en-GB"/>
              </w:rPr>
            </w:pPr>
            <w:r w:rsidRPr="0063633D">
              <w:rPr>
                <w:color w:val="000000"/>
                <w:lang w:val="en-GB" w:eastAsia="en-GB"/>
              </w:rPr>
              <w:t>Rainfall</w:t>
            </w:r>
          </w:p>
        </w:tc>
        <w:tc>
          <w:tcPr>
            <w:tcW w:w="1757" w:type="pct"/>
            <w:shd w:val="clear" w:color="auto" w:fill="auto"/>
            <w:hideMark/>
          </w:tcPr>
          <w:p w14:paraId="3C10D40C" w14:textId="77777777" w:rsidR="005B0FBC" w:rsidRPr="0063633D" w:rsidRDefault="005B0FBC" w:rsidP="005E0688">
            <w:pPr>
              <w:spacing w:line="240" w:lineRule="auto"/>
              <w:rPr>
                <w:color w:val="000000"/>
                <w:lang w:val="en-GB" w:eastAsia="en-GB"/>
              </w:rPr>
            </w:pPr>
            <w:r w:rsidRPr="0063633D">
              <w:rPr>
                <w:color w:val="000000"/>
                <w:lang w:val="en-GB" w:eastAsia="en-GB"/>
              </w:rPr>
              <w:t>Based on historical patterns (1980-2010), rainfall across Ghana has been projected to decrease by 2.9 % in the near future (2040) followed by slight increase in the mid future 2060 by 1.1% and later decrease in the far future (2080) by 1.7% (</w:t>
            </w:r>
            <w:proofErr w:type="spellStart"/>
            <w:r w:rsidRPr="0063633D">
              <w:rPr>
                <w:color w:val="000000"/>
                <w:lang w:val="en-GB" w:eastAsia="en-GB"/>
              </w:rPr>
              <w:t>GoG</w:t>
            </w:r>
            <w:proofErr w:type="spellEnd"/>
            <w:r w:rsidRPr="0063633D">
              <w:rPr>
                <w:color w:val="000000"/>
                <w:lang w:val="en-GB" w:eastAsia="en-GB"/>
              </w:rPr>
              <w:t>, 2015)</w:t>
            </w:r>
          </w:p>
          <w:p w14:paraId="6CA39C69" w14:textId="77777777" w:rsidR="005B0FBC" w:rsidRPr="0063633D" w:rsidRDefault="005B0FBC" w:rsidP="005E0688">
            <w:pPr>
              <w:spacing w:line="240" w:lineRule="auto"/>
              <w:rPr>
                <w:color w:val="000000"/>
                <w:lang w:val="en-GB" w:eastAsia="en-GB"/>
              </w:rPr>
            </w:pPr>
          </w:p>
        </w:tc>
        <w:tc>
          <w:tcPr>
            <w:tcW w:w="2109" w:type="pct"/>
            <w:shd w:val="clear" w:color="auto" w:fill="auto"/>
            <w:hideMark/>
          </w:tcPr>
          <w:p w14:paraId="5BB44FFE" w14:textId="77777777" w:rsidR="005B0FBC" w:rsidRPr="0063633D" w:rsidRDefault="005B0FBC" w:rsidP="005E0688">
            <w:pPr>
              <w:spacing w:line="240" w:lineRule="auto"/>
              <w:rPr>
                <w:color w:val="000000"/>
                <w:lang w:val="en-GB" w:eastAsia="en-GB"/>
              </w:rPr>
            </w:pPr>
            <w:r w:rsidRPr="0063633D">
              <w:rPr>
                <w:color w:val="000000"/>
                <w:lang w:val="en-GB" w:eastAsia="en-GB"/>
              </w:rPr>
              <w:t>Increasing variability of rainfall increases the risk associated with farming as prediction of when to plant becomes problematic.</w:t>
            </w:r>
            <w:r w:rsidRPr="0063633D">
              <w:rPr>
                <w:lang w:val="en-GB"/>
              </w:rPr>
              <w:t xml:space="preserve"> </w:t>
            </w:r>
            <w:r w:rsidRPr="0063633D">
              <w:rPr>
                <w:color w:val="000000"/>
                <w:lang w:val="en-GB" w:eastAsia="en-GB"/>
              </w:rPr>
              <w:t>Total rainfall amounts are projected to fall or experience great variability which will impact crop production and the livelihoods of many in rural areas.</w:t>
            </w:r>
            <w:r w:rsidRPr="0063633D">
              <w:rPr>
                <w:lang w:val="en-GB"/>
              </w:rPr>
              <w:t xml:space="preserve"> This is because </w:t>
            </w:r>
            <w:r w:rsidRPr="0063633D">
              <w:rPr>
                <w:color w:val="000000"/>
                <w:lang w:val="en-GB" w:eastAsia="en-GB"/>
              </w:rPr>
              <w:t xml:space="preserve">Agricultural production in Ghana is mostly rain-fed and any changes in rainfall pattern would have serious impact on productivity(UNEP/UNDP, </w:t>
            </w:r>
            <w:proofErr w:type="spellStart"/>
            <w:r w:rsidRPr="0063633D">
              <w:rPr>
                <w:color w:val="000000"/>
                <w:lang w:val="en-GB" w:eastAsia="en-GB"/>
              </w:rPr>
              <w:t>nd</w:t>
            </w:r>
            <w:proofErr w:type="spellEnd"/>
            <w:r w:rsidRPr="0063633D">
              <w:rPr>
                <w:color w:val="000000"/>
                <w:lang w:val="en-GB" w:eastAsia="en-GB"/>
              </w:rPr>
              <w:t>)</w:t>
            </w:r>
          </w:p>
        </w:tc>
      </w:tr>
      <w:tr w:rsidR="005B0FBC" w:rsidRPr="008E1239" w14:paraId="26EB1C8E" w14:textId="77777777" w:rsidTr="00DA0F28">
        <w:trPr>
          <w:trHeight w:val="290"/>
        </w:trPr>
        <w:tc>
          <w:tcPr>
            <w:tcW w:w="622" w:type="pct"/>
            <w:vMerge/>
            <w:shd w:val="clear" w:color="auto" w:fill="F2F2F2"/>
            <w:hideMark/>
          </w:tcPr>
          <w:p w14:paraId="1F8C8108" w14:textId="77777777" w:rsidR="005B0FBC" w:rsidRPr="0063633D" w:rsidRDefault="005B0FBC" w:rsidP="005E0688">
            <w:pPr>
              <w:spacing w:line="240" w:lineRule="auto"/>
              <w:rPr>
                <w:b/>
                <w:bCs/>
                <w:color w:val="000000"/>
                <w:lang w:val="en-GB" w:eastAsia="en-GB"/>
              </w:rPr>
            </w:pPr>
          </w:p>
        </w:tc>
        <w:tc>
          <w:tcPr>
            <w:tcW w:w="512" w:type="pct"/>
            <w:shd w:val="clear" w:color="auto" w:fill="F2F2F2"/>
            <w:hideMark/>
          </w:tcPr>
          <w:p w14:paraId="6C3ECF38" w14:textId="77777777" w:rsidR="005B0FBC" w:rsidRPr="0063633D" w:rsidRDefault="005B0FBC" w:rsidP="005E0688">
            <w:pPr>
              <w:spacing w:line="240" w:lineRule="auto"/>
              <w:rPr>
                <w:color w:val="000000"/>
                <w:lang w:val="en-GB" w:eastAsia="en-GB"/>
              </w:rPr>
            </w:pPr>
            <w:r w:rsidRPr="0063633D">
              <w:rPr>
                <w:color w:val="000000"/>
                <w:lang w:val="en-GB" w:eastAsia="en-GB"/>
              </w:rPr>
              <w:t>Drought</w:t>
            </w:r>
          </w:p>
        </w:tc>
        <w:tc>
          <w:tcPr>
            <w:tcW w:w="1757" w:type="pct"/>
            <w:shd w:val="clear" w:color="auto" w:fill="F2F2F2"/>
            <w:hideMark/>
          </w:tcPr>
          <w:p w14:paraId="40A083D7" w14:textId="77777777" w:rsidR="005B0FBC" w:rsidRPr="0063633D" w:rsidRDefault="005B0FBC" w:rsidP="005E0688">
            <w:pPr>
              <w:spacing w:line="240" w:lineRule="auto"/>
              <w:rPr>
                <w:color w:val="000000"/>
                <w:lang w:val="en-GB" w:eastAsia="en-GB"/>
              </w:rPr>
            </w:pPr>
            <w:r w:rsidRPr="0063633D">
              <w:rPr>
                <w:color w:val="000000"/>
                <w:lang w:val="en-GB" w:eastAsia="en-GB"/>
              </w:rPr>
              <w:t xml:space="preserve">Drought risk is low in the </w:t>
            </w:r>
            <w:proofErr w:type="spellStart"/>
            <w:r w:rsidRPr="0063633D">
              <w:rPr>
                <w:color w:val="000000"/>
                <w:lang w:val="en-GB" w:eastAsia="en-GB"/>
              </w:rPr>
              <w:t>southeastern</w:t>
            </w:r>
            <w:proofErr w:type="spellEnd"/>
            <w:r w:rsidRPr="0063633D">
              <w:rPr>
                <w:color w:val="000000"/>
                <w:lang w:val="en-GB" w:eastAsia="en-GB"/>
              </w:rPr>
              <w:t xml:space="preserve"> part of the </w:t>
            </w:r>
            <w:proofErr w:type="spellStart"/>
            <w:r w:rsidRPr="0063633D">
              <w:rPr>
                <w:color w:val="000000"/>
                <w:lang w:val="en-GB" w:eastAsia="en-GB"/>
              </w:rPr>
              <w:t>Fanteakwa</w:t>
            </w:r>
            <w:proofErr w:type="spellEnd"/>
            <w:r w:rsidRPr="0063633D">
              <w:rPr>
                <w:color w:val="000000"/>
                <w:lang w:val="en-GB" w:eastAsia="en-GB"/>
              </w:rPr>
              <w:t xml:space="preserve"> District of Ghana (EPA , 2012). Forest type in this area is close to that found in the </w:t>
            </w:r>
            <w:proofErr w:type="spellStart"/>
            <w:r w:rsidRPr="0063633D">
              <w:rPr>
                <w:color w:val="000000"/>
                <w:lang w:val="en-GB" w:eastAsia="en-GB"/>
              </w:rPr>
              <w:t>Juabeso</w:t>
            </w:r>
            <w:proofErr w:type="spellEnd"/>
            <w:r w:rsidRPr="0063633D">
              <w:rPr>
                <w:color w:val="000000"/>
                <w:lang w:val="en-GB" w:eastAsia="en-GB"/>
              </w:rPr>
              <w:t xml:space="preserve">-Bia and </w:t>
            </w:r>
            <w:proofErr w:type="spellStart"/>
            <w:r w:rsidRPr="0063633D">
              <w:rPr>
                <w:color w:val="000000"/>
                <w:lang w:val="en-GB" w:eastAsia="en-GB"/>
              </w:rPr>
              <w:t>Sefwi</w:t>
            </w:r>
            <w:proofErr w:type="spellEnd"/>
            <w:r w:rsidRPr="0063633D">
              <w:rPr>
                <w:color w:val="000000"/>
                <w:lang w:val="en-GB" w:eastAsia="en-GB"/>
              </w:rPr>
              <w:t xml:space="preserve"> </w:t>
            </w:r>
            <w:proofErr w:type="spellStart"/>
            <w:r w:rsidRPr="0063633D">
              <w:rPr>
                <w:color w:val="000000"/>
                <w:lang w:val="en-GB" w:eastAsia="en-GB"/>
              </w:rPr>
              <w:t>Wiawso</w:t>
            </w:r>
            <w:proofErr w:type="spellEnd"/>
            <w:r w:rsidRPr="0063633D">
              <w:rPr>
                <w:color w:val="000000"/>
                <w:lang w:val="en-GB" w:eastAsia="en-GB"/>
              </w:rPr>
              <w:t xml:space="preserve"> Landscape and is expected to be low as well</w:t>
            </w:r>
          </w:p>
        </w:tc>
        <w:tc>
          <w:tcPr>
            <w:tcW w:w="2109" w:type="pct"/>
            <w:shd w:val="clear" w:color="auto" w:fill="F2F2F2"/>
            <w:hideMark/>
          </w:tcPr>
          <w:p w14:paraId="68EEA98B" w14:textId="77777777" w:rsidR="005B0FBC" w:rsidRPr="0063633D" w:rsidRDefault="005B0FBC" w:rsidP="005E0688">
            <w:pPr>
              <w:spacing w:line="240" w:lineRule="auto"/>
              <w:rPr>
                <w:color w:val="000000"/>
                <w:lang w:val="en-GB" w:eastAsia="en-GB"/>
              </w:rPr>
            </w:pPr>
            <w:r w:rsidRPr="0063633D">
              <w:rPr>
                <w:color w:val="000000"/>
                <w:lang w:val="en-GB" w:eastAsia="en-GB"/>
              </w:rPr>
              <w:t>Extreme weather events are predicted to occur in most tropical areas due to climate change and frequency of drought is expected to increase.</w:t>
            </w:r>
            <w:r w:rsidRPr="0063633D">
              <w:rPr>
                <w:lang w:val="en-GB"/>
              </w:rPr>
              <w:t xml:space="preserve"> </w:t>
            </w:r>
            <w:r w:rsidRPr="0063633D">
              <w:rPr>
                <w:color w:val="000000"/>
                <w:lang w:val="en-GB" w:eastAsia="en-GB"/>
              </w:rPr>
              <w:t>Many IPCC- AR4 models forecast decline in precipitation and long- term soil moisture droughts in some tropical areas” (</w:t>
            </w:r>
            <w:proofErr w:type="spellStart"/>
            <w:r w:rsidRPr="0063633D">
              <w:rPr>
                <w:color w:val="000000"/>
                <w:lang w:val="en-GB" w:eastAsia="en-GB"/>
              </w:rPr>
              <w:t>Fauset</w:t>
            </w:r>
            <w:proofErr w:type="spellEnd"/>
            <w:r w:rsidRPr="0063633D">
              <w:rPr>
                <w:color w:val="000000"/>
                <w:lang w:val="en-GB" w:eastAsia="en-GB"/>
              </w:rPr>
              <w:t xml:space="preserve"> et al., 2012; Sheffield &amp; Wood, 2008). This is likely to cause tree and crop mortality in the landscape and affect livelihoods.</w:t>
            </w:r>
          </w:p>
        </w:tc>
      </w:tr>
      <w:tr w:rsidR="005B0FBC" w:rsidRPr="008E1239" w14:paraId="2F241EA5" w14:textId="77777777" w:rsidTr="00DA0F28">
        <w:trPr>
          <w:trHeight w:val="580"/>
        </w:trPr>
        <w:tc>
          <w:tcPr>
            <w:tcW w:w="622" w:type="pct"/>
            <w:vMerge w:val="restart"/>
            <w:shd w:val="clear" w:color="auto" w:fill="auto"/>
            <w:hideMark/>
          </w:tcPr>
          <w:p w14:paraId="24B32C02" w14:textId="77777777" w:rsidR="005B0FBC" w:rsidRPr="0063633D" w:rsidRDefault="005B0FBC" w:rsidP="005E0688">
            <w:pPr>
              <w:spacing w:line="240" w:lineRule="auto"/>
              <w:jc w:val="center"/>
              <w:rPr>
                <w:b/>
                <w:bCs/>
                <w:color w:val="000000"/>
                <w:lang w:val="en-GB" w:eastAsia="en-GB"/>
              </w:rPr>
            </w:pPr>
            <w:r w:rsidRPr="0063633D">
              <w:rPr>
                <w:b/>
                <w:bCs/>
                <w:color w:val="000000"/>
                <w:lang w:val="en-GB" w:eastAsia="en-GB"/>
              </w:rPr>
              <w:t>Vulnerability (Species, crop)</w:t>
            </w:r>
          </w:p>
        </w:tc>
        <w:tc>
          <w:tcPr>
            <w:tcW w:w="512" w:type="pct"/>
            <w:shd w:val="clear" w:color="auto" w:fill="auto"/>
            <w:hideMark/>
          </w:tcPr>
          <w:p w14:paraId="08AC19F4" w14:textId="77777777" w:rsidR="005B0FBC" w:rsidRPr="0063633D" w:rsidRDefault="005B0FBC" w:rsidP="005E0688">
            <w:pPr>
              <w:spacing w:line="240" w:lineRule="auto"/>
              <w:rPr>
                <w:color w:val="000000"/>
                <w:lang w:val="en-GB" w:eastAsia="en-GB"/>
              </w:rPr>
            </w:pPr>
            <w:r w:rsidRPr="0063633D">
              <w:rPr>
                <w:color w:val="000000"/>
                <w:lang w:val="en-GB" w:eastAsia="en-GB"/>
              </w:rPr>
              <w:t>Oil palm</w:t>
            </w:r>
          </w:p>
        </w:tc>
        <w:tc>
          <w:tcPr>
            <w:tcW w:w="1757" w:type="pct"/>
            <w:shd w:val="clear" w:color="auto" w:fill="auto"/>
            <w:hideMark/>
          </w:tcPr>
          <w:p w14:paraId="4D6C5538" w14:textId="77777777" w:rsidR="005B0FBC" w:rsidRPr="0063633D" w:rsidRDefault="005B0FBC" w:rsidP="005E0688">
            <w:pPr>
              <w:spacing w:line="240" w:lineRule="auto"/>
              <w:rPr>
                <w:color w:val="000000"/>
                <w:lang w:val="en-GB" w:eastAsia="en-GB"/>
              </w:rPr>
            </w:pPr>
            <w:r w:rsidRPr="0063633D">
              <w:rPr>
                <w:color w:val="000000"/>
                <w:lang w:val="en-GB" w:eastAsia="en-GB"/>
              </w:rPr>
              <w:t> </w:t>
            </w:r>
          </w:p>
        </w:tc>
        <w:tc>
          <w:tcPr>
            <w:tcW w:w="2109" w:type="pct"/>
            <w:shd w:val="clear" w:color="auto" w:fill="auto"/>
            <w:hideMark/>
          </w:tcPr>
          <w:p w14:paraId="500E2C4B" w14:textId="77777777" w:rsidR="005B0FBC" w:rsidRPr="0063633D" w:rsidRDefault="005B0FBC" w:rsidP="005E0688">
            <w:pPr>
              <w:spacing w:line="240" w:lineRule="auto"/>
              <w:rPr>
                <w:color w:val="000000"/>
                <w:lang w:val="en-GB" w:eastAsia="en-GB"/>
              </w:rPr>
            </w:pPr>
            <w:r w:rsidRPr="0063633D">
              <w:rPr>
                <w:color w:val="000000"/>
                <w:lang w:val="en-GB" w:eastAsia="en-GB"/>
              </w:rPr>
              <w:t>Climate change is expected to have negatively influence Oil palm (OP) production. OP yields are projected</w:t>
            </w:r>
          </w:p>
          <w:p w14:paraId="4AC6291D" w14:textId="77777777" w:rsidR="005B0FBC" w:rsidRPr="0063633D" w:rsidRDefault="005B0FBC" w:rsidP="005E0688">
            <w:pPr>
              <w:spacing w:line="240" w:lineRule="auto"/>
              <w:rPr>
                <w:color w:val="000000"/>
                <w:lang w:val="en-GB" w:eastAsia="en-GB"/>
              </w:rPr>
            </w:pPr>
            <w:r w:rsidRPr="0063633D">
              <w:rPr>
                <w:color w:val="000000"/>
                <w:lang w:val="en-GB" w:eastAsia="en-GB"/>
              </w:rPr>
              <w:t>to decrease by 30% should temperature increase by 2°C above optimum and rainfall decreases by 10% in Malaysia. Decrease in CPO production caused by CC in southern Malaysia was 26.3%. drought in SE Asia caused declines of 10%–30% in palm oil production(Paterson and Lima 2018)</w:t>
            </w:r>
          </w:p>
        </w:tc>
      </w:tr>
      <w:tr w:rsidR="005B0FBC" w:rsidRPr="008E1239" w14:paraId="34EF72CE" w14:textId="77777777" w:rsidTr="00DA0F28">
        <w:trPr>
          <w:trHeight w:val="580"/>
        </w:trPr>
        <w:tc>
          <w:tcPr>
            <w:tcW w:w="622" w:type="pct"/>
            <w:vMerge/>
            <w:shd w:val="clear" w:color="auto" w:fill="F2F2F2"/>
            <w:hideMark/>
          </w:tcPr>
          <w:p w14:paraId="17B86301" w14:textId="77777777" w:rsidR="005B0FBC" w:rsidRPr="0063633D" w:rsidRDefault="005B0FBC" w:rsidP="005E0688">
            <w:pPr>
              <w:spacing w:line="240" w:lineRule="auto"/>
              <w:rPr>
                <w:b/>
                <w:bCs/>
                <w:color w:val="000000"/>
                <w:lang w:val="en-GB" w:eastAsia="en-GB"/>
              </w:rPr>
            </w:pPr>
          </w:p>
        </w:tc>
        <w:tc>
          <w:tcPr>
            <w:tcW w:w="512" w:type="pct"/>
            <w:shd w:val="clear" w:color="auto" w:fill="F2F2F2"/>
            <w:hideMark/>
          </w:tcPr>
          <w:p w14:paraId="17BAE6A5" w14:textId="77777777" w:rsidR="005B0FBC" w:rsidRPr="0063633D" w:rsidRDefault="005B0FBC" w:rsidP="005E0688">
            <w:pPr>
              <w:spacing w:line="240" w:lineRule="auto"/>
              <w:rPr>
                <w:color w:val="000000"/>
                <w:lang w:val="en-GB" w:eastAsia="en-GB"/>
              </w:rPr>
            </w:pPr>
            <w:r w:rsidRPr="0063633D">
              <w:rPr>
                <w:color w:val="000000"/>
                <w:lang w:val="en-GB" w:eastAsia="en-GB"/>
              </w:rPr>
              <w:t>Rubber</w:t>
            </w:r>
          </w:p>
        </w:tc>
        <w:tc>
          <w:tcPr>
            <w:tcW w:w="1757" w:type="pct"/>
            <w:shd w:val="clear" w:color="auto" w:fill="F2F2F2"/>
            <w:hideMark/>
          </w:tcPr>
          <w:p w14:paraId="782F1424" w14:textId="77777777" w:rsidR="005B0FBC" w:rsidRPr="0063633D" w:rsidRDefault="005B0FBC" w:rsidP="005E0688">
            <w:pPr>
              <w:spacing w:line="240" w:lineRule="auto"/>
              <w:rPr>
                <w:color w:val="000000"/>
                <w:lang w:val="en-GB" w:eastAsia="en-GB"/>
              </w:rPr>
            </w:pPr>
            <w:r w:rsidRPr="0063633D">
              <w:rPr>
                <w:color w:val="000000"/>
                <w:lang w:val="en-GB" w:eastAsia="en-GB"/>
              </w:rPr>
              <w:t> </w:t>
            </w:r>
          </w:p>
        </w:tc>
        <w:tc>
          <w:tcPr>
            <w:tcW w:w="2109" w:type="pct"/>
            <w:shd w:val="clear" w:color="auto" w:fill="F2F2F2"/>
            <w:hideMark/>
          </w:tcPr>
          <w:p w14:paraId="41249EDE" w14:textId="77777777" w:rsidR="005B0FBC" w:rsidRPr="0063633D" w:rsidRDefault="005B0FBC" w:rsidP="005E0688">
            <w:pPr>
              <w:spacing w:line="240" w:lineRule="auto"/>
              <w:rPr>
                <w:color w:val="000000"/>
                <w:lang w:val="en-GB" w:eastAsia="en-GB"/>
              </w:rPr>
            </w:pPr>
            <w:r w:rsidRPr="0063633D">
              <w:rPr>
                <w:color w:val="000000"/>
                <w:lang w:val="en-GB" w:eastAsia="en-GB"/>
              </w:rPr>
              <w:t>Climate change is likely to have a significant impact on the future growth of planted trees in general because tree growth responds directly to changes in CO2 concentration, temperature and nutrient and water availability. (Watt, 2008).</w:t>
            </w:r>
            <w:r w:rsidRPr="0063633D">
              <w:rPr>
                <w:lang w:val="en-GB"/>
              </w:rPr>
              <w:t xml:space="preserve"> </w:t>
            </w:r>
            <w:r w:rsidRPr="0063633D">
              <w:rPr>
                <w:color w:val="000000"/>
                <w:lang w:val="en-GB" w:eastAsia="en-GB"/>
              </w:rPr>
              <w:t>Projected increased frequency of intense droughts will threaten the productivity of rubber plantations in the landscape.</w:t>
            </w:r>
          </w:p>
        </w:tc>
      </w:tr>
      <w:tr w:rsidR="005B0FBC" w:rsidRPr="008E1239" w14:paraId="5015BACF" w14:textId="77777777" w:rsidTr="00DA0F28">
        <w:trPr>
          <w:trHeight w:val="580"/>
        </w:trPr>
        <w:tc>
          <w:tcPr>
            <w:tcW w:w="622" w:type="pct"/>
            <w:vMerge/>
            <w:shd w:val="clear" w:color="auto" w:fill="auto"/>
            <w:hideMark/>
          </w:tcPr>
          <w:p w14:paraId="61141F9A" w14:textId="77777777" w:rsidR="005B0FBC" w:rsidRPr="0063633D" w:rsidRDefault="005B0FBC" w:rsidP="005E0688">
            <w:pPr>
              <w:spacing w:line="240" w:lineRule="auto"/>
              <w:rPr>
                <w:b/>
                <w:bCs/>
                <w:color w:val="000000"/>
                <w:lang w:val="en-GB" w:eastAsia="en-GB"/>
              </w:rPr>
            </w:pPr>
          </w:p>
        </w:tc>
        <w:tc>
          <w:tcPr>
            <w:tcW w:w="512" w:type="pct"/>
            <w:shd w:val="clear" w:color="auto" w:fill="auto"/>
            <w:hideMark/>
          </w:tcPr>
          <w:p w14:paraId="5C0D3DD2" w14:textId="77777777" w:rsidR="005B0FBC" w:rsidRPr="0063633D" w:rsidRDefault="005B0FBC" w:rsidP="005E0688">
            <w:pPr>
              <w:spacing w:line="240" w:lineRule="auto"/>
              <w:rPr>
                <w:color w:val="000000"/>
                <w:lang w:val="en-GB" w:eastAsia="en-GB"/>
              </w:rPr>
            </w:pPr>
            <w:r w:rsidRPr="0063633D">
              <w:rPr>
                <w:color w:val="000000"/>
                <w:lang w:val="en-GB" w:eastAsia="en-GB"/>
              </w:rPr>
              <w:t>Cocoa</w:t>
            </w:r>
          </w:p>
        </w:tc>
        <w:tc>
          <w:tcPr>
            <w:tcW w:w="1757" w:type="pct"/>
            <w:shd w:val="clear" w:color="auto" w:fill="auto"/>
            <w:hideMark/>
          </w:tcPr>
          <w:p w14:paraId="03098A31" w14:textId="77777777" w:rsidR="005B0FBC" w:rsidRPr="0063633D" w:rsidRDefault="005B0FBC" w:rsidP="005E0688">
            <w:pPr>
              <w:spacing w:line="240" w:lineRule="auto"/>
              <w:rPr>
                <w:color w:val="000000"/>
                <w:lang w:val="en-GB" w:eastAsia="en-GB"/>
              </w:rPr>
            </w:pPr>
            <w:r w:rsidRPr="0063633D">
              <w:rPr>
                <w:color w:val="000000"/>
                <w:lang w:val="en-GB" w:eastAsia="en-GB"/>
              </w:rPr>
              <w:t> </w:t>
            </w:r>
          </w:p>
        </w:tc>
        <w:tc>
          <w:tcPr>
            <w:tcW w:w="2109" w:type="pct"/>
            <w:shd w:val="clear" w:color="auto" w:fill="auto"/>
            <w:hideMark/>
          </w:tcPr>
          <w:p w14:paraId="200738AB" w14:textId="77777777" w:rsidR="005B0FBC" w:rsidRPr="0063633D" w:rsidRDefault="005B0FBC" w:rsidP="005E0688">
            <w:pPr>
              <w:spacing w:line="240" w:lineRule="auto"/>
              <w:rPr>
                <w:color w:val="000000"/>
                <w:lang w:val="en-GB" w:eastAsia="en-GB"/>
              </w:rPr>
            </w:pPr>
            <w:r w:rsidRPr="0063633D">
              <w:rPr>
                <w:color w:val="000000"/>
                <w:lang w:val="en-GB" w:eastAsia="en-GB"/>
              </w:rPr>
              <w:t>It has been predicted that drop in cocoa yield will be 14% and 28% for 2020 and 2050 respectively in response to the predicted rainfall decline</w:t>
            </w:r>
            <w:r w:rsidRPr="0063633D">
              <w:rPr>
                <w:lang w:val="en-GB"/>
              </w:rPr>
              <w:t xml:space="preserve"> (</w:t>
            </w:r>
            <w:r w:rsidRPr="0063633D">
              <w:rPr>
                <w:color w:val="000000"/>
                <w:lang w:val="en-GB" w:eastAsia="en-GB"/>
              </w:rPr>
              <w:t xml:space="preserve">Boon and </w:t>
            </w:r>
            <w:proofErr w:type="spellStart"/>
            <w:r w:rsidRPr="0063633D">
              <w:rPr>
                <w:color w:val="000000"/>
                <w:lang w:val="en-GB" w:eastAsia="en-GB"/>
              </w:rPr>
              <w:t>Ahenkan</w:t>
            </w:r>
            <w:proofErr w:type="spellEnd"/>
            <w:r w:rsidRPr="0063633D">
              <w:rPr>
                <w:color w:val="000000"/>
                <w:lang w:val="en-GB" w:eastAsia="en-GB"/>
              </w:rPr>
              <w:t xml:space="preserve"> 2011). This will affect the livelihood of the local communities in the landscape and affect foreign exchange earnings from cocoa export</w:t>
            </w:r>
          </w:p>
        </w:tc>
      </w:tr>
      <w:tr w:rsidR="005B0FBC" w:rsidRPr="008E1239" w14:paraId="1B3D0606" w14:textId="77777777" w:rsidTr="00DA0F28">
        <w:trPr>
          <w:trHeight w:val="529"/>
        </w:trPr>
        <w:tc>
          <w:tcPr>
            <w:tcW w:w="622" w:type="pct"/>
            <w:vMerge/>
            <w:shd w:val="clear" w:color="auto" w:fill="auto"/>
            <w:hideMark/>
          </w:tcPr>
          <w:p w14:paraId="6CAC7B00" w14:textId="77777777" w:rsidR="005B0FBC" w:rsidRPr="0063633D" w:rsidRDefault="005B0FBC" w:rsidP="005E0688">
            <w:pPr>
              <w:spacing w:line="240" w:lineRule="auto"/>
              <w:rPr>
                <w:b/>
                <w:bCs/>
                <w:color w:val="000000"/>
                <w:lang w:val="en-GB" w:eastAsia="en-GB"/>
              </w:rPr>
            </w:pPr>
          </w:p>
        </w:tc>
        <w:tc>
          <w:tcPr>
            <w:tcW w:w="512" w:type="pct"/>
            <w:shd w:val="clear" w:color="auto" w:fill="auto"/>
            <w:hideMark/>
          </w:tcPr>
          <w:p w14:paraId="2FF7AD1B" w14:textId="77777777" w:rsidR="005B0FBC" w:rsidRPr="0063633D" w:rsidRDefault="005B0FBC" w:rsidP="005E0688">
            <w:pPr>
              <w:spacing w:line="240" w:lineRule="auto"/>
              <w:rPr>
                <w:color w:val="000000"/>
                <w:lang w:val="en-GB" w:eastAsia="en-GB"/>
              </w:rPr>
            </w:pPr>
            <w:r w:rsidRPr="0063633D">
              <w:rPr>
                <w:color w:val="000000"/>
                <w:lang w:val="en-GB" w:eastAsia="en-GB"/>
              </w:rPr>
              <w:t>Wildlife</w:t>
            </w:r>
          </w:p>
        </w:tc>
        <w:tc>
          <w:tcPr>
            <w:tcW w:w="1757" w:type="pct"/>
            <w:shd w:val="clear" w:color="auto" w:fill="auto"/>
            <w:hideMark/>
          </w:tcPr>
          <w:p w14:paraId="4BB8B342" w14:textId="77777777" w:rsidR="005B0FBC" w:rsidRPr="0063633D" w:rsidRDefault="005B0FBC" w:rsidP="005E0688">
            <w:pPr>
              <w:spacing w:line="240" w:lineRule="auto"/>
              <w:rPr>
                <w:color w:val="000000"/>
                <w:lang w:val="en-GB" w:eastAsia="en-GB"/>
              </w:rPr>
            </w:pPr>
            <w:r w:rsidRPr="0063633D">
              <w:rPr>
                <w:color w:val="000000"/>
                <w:lang w:val="en-GB" w:eastAsia="en-GB"/>
              </w:rPr>
              <w:t> </w:t>
            </w:r>
          </w:p>
        </w:tc>
        <w:tc>
          <w:tcPr>
            <w:tcW w:w="2109" w:type="pct"/>
            <w:shd w:val="clear" w:color="auto" w:fill="auto"/>
            <w:hideMark/>
          </w:tcPr>
          <w:p w14:paraId="07C1CBA3" w14:textId="77777777" w:rsidR="005B0FBC" w:rsidRPr="0063633D" w:rsidRDefault="005B0FBC" w:rsidP="005E0688">
            <w:pPr>
              <w:spacing w:line="240" w:lineRule="auto"/>
              <w:rPr>
                <w:lang w:val="en-GB" w:eastAsia="en-GB"/>
              </w:rPr>
            </w:pPr>
            <w:r w:rsidRPr="0063633D">
              <w:rPr>
                <w:lang w:val="en-GB" w:eastAsia="en-GB"/>
              </w:rPr>
              <w:t>Projected increased frequency of intense droughts threaten wildlife and freshwater supplies.</w:t>
            </w:r>
          </w:p>
          <w:p w14:paraId="30ADEBD5" w14:textId="77777777" w:rsidR="005B0FBC" w:rsidRPr="0063633D" w:rsidRDefault="005B0FBC" w:rsidP="005E0688">
            <w:pPr>
              <w:spacing w:line="240" w:lineRule="auto"/>
              <w:rPr>
                <w:lang w:val="en-GB" w:eastAsia="en-GB"/>
              </w:rPr>
            </w:pPr>
            <w:r w:rsidRPr="0063633D">
              <w:rPr>
                <w:lang w:val="en-GB" w:eastAsia="en-GB"/>
              </w:rPr>
              <w:t xml:space="preserve">Climate change has an impact on soil temperature and can affects nesting sites of some animals. </w:t>
            </w:r>
          </w:p>
        </w:tc>
      </w:tr>
    </w:tbl>
    <w:p w14:paraId="0F1CDE23" w14:textId="77777777" w:rsidR="005B0FBC" w:rsidRPr="0063633D" w:rsidRDefault="005B0FBC" w:rsidP="005B0FBC">
      <w:pPr>
        <w:spacing w:line="240" w:lineRule="auto"/>
        <w:jc w:val="both"/>
        <w:rPr>
          <w:lang w:val="en-US"/>
        </w:rPr>
      </w:pPr>
    </w:p>
    <w:p w14:paraId="6182A2E7" w14:textId="77777777" w:rsidR="00221189" w:rsidRDefault="00221189" w:rsidP="00AF2576">
      <w:pPr>
        <w:rPr>
          <w:lang w:val="en-US"/>
        </w:rPr>
      </w:pPr>
    </w:p>
    <w:p w14:paraId="6BB06EFA" w14:textId="4961BC5B" w:rsidR="005B0FBC" w:rsidRDefault="005B0FBC" w:rsidP="005B0FBC">
      <w:pPr>
        <w:pStyle w:val="Bijschrift"/>
        <w:keepNext/>
      </w:pPr>
      <w:r>
        <w:t xml:space="preserve">Table </w:t>
      </w:r>
      <w:r>
        <w:fldChar w:fldCharType="begin"/>
      </w:r>
      <w:r>
        <w:instrText xml:space="preserve"> SEQ Table \* ARABIC </w:instrText>
      </w:r>
      <w:r>
        <w:fldChar w:fldCharType="separate"/>
      </w:r>
      <w:r w:rsidR="00D12D4D">
        <w:rPr>
          <w:noProof/>
        </w:rPr>
        <w:t>6</w:t>
      </w:r>
      <w:r>
        <w:fldChar w:fldCharType="end"/>
      </w:r>
      <w:r>
        <w:t xml:space="preserve">: </w:t>
      </w:r>
      <w:r w:rsidRPr="0063633D">
        <w:rPr>
          <w:lang w:val="en-US"/>
        </w:rPr>
        <w:t>The status of elements that   influence the level of vulnerability in the JB and WS  landscapes.</w:t>
      </w:r>
    </w:p>
    <w:tbl>
      <w:tblPr>
        <w:tblW w:w="1303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10"/>
        <w:gridCol w:w="2289"/>
        <w:gridCol w:w="4851"/>
        <w:gridCol w:w="5386"/>
      </w:tblGrid>
      <w:tr w:rsidR="005B0FBC" w:rsidRPr="0063633D" w14:paraId="5E7435FD" w14:textId="77777777" w:rsidTr="004065FC">
        <w:trPr>
          <w:trHeight w:val="20"/>
        </w:trPr>
        <w:tc>
          <w:tcPr>
            <w:tcW w:w="0" w:type="auto"/>
            <w:vMerge w:val="restart"/>
            <w:tcBorders>
              <w:top w:val="single" w:sz="4" w:space="0" w:color="A5A5A5"/>
              <w:left w:val="single" w:sz="4" w:space="0" w:color="A5A5A5"/>
              <w:bottom w:val="single" w:sz="4" w:space="0" w:color="A5A5A5"/>
              <w:right w:val="nil"/>
            </w:tcBorders>
            <w:shd w:val="clear" w:color="auto" w:fill="A5A5A5"/>
            <w:noWrap/>
            <w:hideMark/>
          </w:tcPr>
          <w:p w14:paraId="6A9E5EB6" w14:textId="77777777" w:rsidR="005B0FBC" w:rsidRPr="0063633D" w:rsidRDefault="005B0FBC" w:rsidP="005E0688">
            <w:pPr>
              <w:spacing w:line="240" w:lineRule="auto"/>
              <w:jc w:val="center"/>
              <w:rPr>
                <w:b/>
                <w:bCs/>
                <w:color w:val="FFFFFF"/>
                <w:lang w:val="en-GB" w:eastAsia="en-GB"/>
              </w:rPr>
            </w:pPr>
            <w:r w:rsidRPr="0063633D">
              <w:rPr>
                <w:b/>
                <w:bCs/>
                <w:color w:val="FFFFFF"/>
                <w:lang w:val="en-GB" w:eastAsia="en-GB"/>
              </w:rPr>
              <w:t>No</w:t>
            </w:r>
          </w:p>
        </w:tc>
        <w:tc>
          <w:tcPr>
            <w:tcW w:w="2289" w:type="dxa"/>
            <w:vMerge w:val="restart"/>
            <w:tcBorders>
              <w:top w:val="single" w:sz="4" w:space="0" w:color="A5A5A5"/>
              <w:left w:val="nil"/>
              <w:bottom w:val="single" w:sz="4" w:space="0" w:color="A5A5A5"/>
              <w:right w:val="nil"/>
            </w:tcBorders>
            <w:shd w:val="clear" w:color="auto" w:fill="A5A5A5"/>
            <w:hideMark/>
          </w:tcPr>
          <w:p w14:paraId="58A4498D" w14:textId="77777777" w:rsidR="005B0FBC" w:rsidRPr="0063633D" w:rsidRDefault="005B0FBC" w:rsidP="005E0688">
            <w:pPr>
              <w:spacing w:line="240" w:lineRule="auto"/>
              <w:jc w:val="center"/>
              <w:rPr>
                <w:b/>
                <w:bCs/>
                <w:color w:val="FFFFFF"/>
                <w:lang w:val="en-GB" w:eastAsia="en-GB"/>
              </w:rPr>
            </w:pPr>
            <w:r w:rsidRPr="0063633D">
              <w:rPr>
                <w:b/>
                <w:bCs/>
                <w:color w:val="FFFFFF"/>
                <w:lang w:val="en-GB" w:eastAsia="en-GB"/>
              </w:rPr>
              <w:t>Landscape elements/aspects</w:t>
            </w:r>
          </w:p>
        </w:tc>
        <w:tc>
          <w:tcPr>
            <w:tcW w:w="10237" w:type="dxa"/>
            <w:gridSpan w:val="2"/>
            <w:tcBorders>
              <w:top w:val="single" w:sz="4" w:space="0" w:color="A5A5A5"/>
              <w:left w:val="nil"/>
              <w:bottom w:val="single" w:sz="4" w:space="0" w:color="A5A5A5"/>
              <w:right w:val="single" w:sz="4" w:space="0" w:color="A5A5A5"/>
            </w:tcBorders>
            <w:shd w:val="clear" w:color="auto" w:fill="A5A5A5"/>
            <w:hideMark/>
          </w:tcPr>
          <w:p w14:paraId="31A69378" w14:textId="77777777" w:rsidR="005B0FBC" w:rsidRPr="0063633D" w:rsidRDefault="005B0FBC" w:rsidP="005E0688">
            <w:pPr>
              <w:spacing w:line="240" w:lineRule="auto"/>
              <w:jc w:val="center"/>
              <w:rPr>
                <w:b/>
                <w:bCs/>
                <w:color w:val="FFFFFF"/>
                <w:lang w:val="en-GB" w:eastAsia="en-GB"/>
              </w:rPr>
            </w:pPr>
            <w:r w:rsidRPr="0063633D">
              <w:rPr>
                <w:b/>
                <w:bCs/>
                <w:color w:val="FFFFFF"/>
                <w:lang w:val="en-GB" w:eastAsia="en-GB"/>
              </w:rPr>
              <w:t xml:space="preserve">Districts </w:t>
            </w:r>
          </w:p>
        </w:tc>
      </w:tr>
      <w:tr w:rsidR="005B0FBC" w:rsidRPr="0063633D" w14:paraId="1B70F1D1" w14:textId="77777777" w:rsidTr="004065FC">
        <w:trPr>
          <w:trHeight w:val="20"/>
        </w:trPr>
        <w:tc>
          <w:tcPr>
            <w:tcW w:w="0" w:type="auto"/>
            <w:vMerge/>
            <w:shd w:val="clear" w:color="auto" w:fill="EDEDED"/>
            <w:hideMark/>
          </w:tcPr>
          <w:p w14:paraId="2B480B1F" w14:textId="77777777" w:rsidR="005B0FBC" w:rsidRPr="0063633D" w:rsidRDefault="005B0FBC" w:rsidP="005E0688">
            <w:pPr>
              <w:spacing w:line="240" w:lineRule="auto"/>
              <w:rPr>
                <w:b/>
                <w:bCs/>
                <w:lang w:val="en-GB" w:eastAsia="en-GB"/>
              </w:rPr>
            </w:pPr>
          </w:p>
        </w:tc>
        <w:tc>
          <w:tcPr>
            <w:tcW w:w="2289" w:type="dxa"/>
            <w:vMerge/>
            <w:shd w:val="clear" w:color="auto" w:fill="EDEDED"/>
            <w:hideMark/>
          </w:tcPr>
          <w:p w14:paraId="05DF606F" w14:textId="77777777" w:rsidR="005B0FBC" w:rsidRPr="0063633D" w:rsidRDefault="005B0FBC" w:rsidP="005E0688">
            <w:pPr>
              <w:spacing w:line="240" w:lineRule="auto"/>
              <w:rPr>
                <w:b/>
                <w:bCs/>
                <w:lang w:val="en-GB" w:eastAsia="en-GB"/>
              </w:rPr>
            </w:pPr>
          </w:p>
        </w:tc>
        <w:tc>
          <w:tcPr>
            <w:tcW w:w="4851" w:type="dxa"/>
            <w:shd w:val="clear" w:color="auto" w:fill="EDEDED"/>
            <w:hideMark/>
          </w:tcPr>
          <w:p w14:paraId="65833054" w14:textId="77777777" w:rsidR="005B0FBC" w:rsidRPr="0063633D" w:rsidRDefault="005B0FBC" w:rsidP="005E0688">
            <w:pPr>
              <w:spacing w:line="240" w:lineRule="auto"/>
              <w:jc w:val="center"/>
              <w:rPr>
                <w:b/>
                <w:bCs/>
                <w:lang w:val="en-GB" w:eastAsia="en-GB"/>
              </w:rPr>
            </w:pPr>
            <w:proofErr w:type="spellStart"/>
            <w:r w:rsidRPr="0063633D">
              <w:rPr>
                <w:b/>
                <w:bCs/>
                <w:lang w:val="en-GB" w:eastAsia="en-GB"/>
              </w:rPr>
              <w:t>Juaboso</w:t>
            </w:r>
            <w:proofErr w:type="spellEnd"/>
            <w:r w:rsidRPr="0063633D">
              <w:rPr>
                <w:b/>
                <w:bCs/>
                <w:lang w:val="en-GB" w:eastAsia="en-GB"/>
              </w:rPr>
              <w:t xml:space="preserve"> -Bia</w:t>
            </w:r>
          </w:p>
        </w:tc>
        <w:tc>
          <w:tcPr>
            <w:tcW w:w="5386" w:type="dxa"/>
            <w:shd w:val="clear" w:color="auto" w:fill="EDEDED"/>
            <w:hideMark/>
          </w:tcPr>
          <w:p w14:paraId="74E1F495" w14:textId="77777777" w:rsidR="005B0FBC" w:rsidRPr="0063633D" w:rsidRDefault="005B0FBC" w:rsidP="005E0688">
            <w:pPr>
              <w:spacing w:line="240" w:lineRule="auto"/>
              <w:jc w:val="center"/>
              <w:rPr>
                <w:b/>
                <w:bCs/>
                <w:lang w:val="en-GB" w:eastAsia="en-GB"/>
              </w:rPr>
            </w:pPr>
            <w:proofErr w:type="spellStart"/>
            <w:r w:rsidRPr="0063633D">
              <w:rPr>
                <w:b/>
                <w:bCs/>
                <w:lang w:val="en-GB" w:eastAsia="en-GB"/>
              </w:rPr>
              <w:t>Sefwi</w:t>
            </w:r>
            <w:proofErr w:type="spellEnd"/>
            <w:r w:rsidRPr="0063633D">
              <w:rPr>
                <w:b/>
                <w:bCs/>
                <w:lang w:val="en-GB" w:eastAsia="en-GB"/>
              </w:rPr>
              <w:t xml:space="preserve"> </w:t>
            </w:r>
            <w:proofErr w:type="spellStart"/>
            <w:r w:rsidRPr="0063633D">
              <w:rPr>
                <w:b/>
                <w:bCs/>
                <w:lang w:val="en-GB" w:eastAsia="en-GB"/>
              </w:rPr>
              <w:t>Wiawso</w:t>
            </w:r>
            <w:proofErr w:type="spellEnd"/>
          </w:p>
        </w:tc>
      </w:tr>
      <w:tr w:rsidR="005B0FBC" w:rsidRPr="008E1239" w14:paraId="3C030338" w14:textId="77777777" w:rsidTr="004065FC">
        <w:trPr>
          <w:trHeight w:val="20"/>
        </w:trPr>
        <w:tc>
          <w:tcPr>
            <w:tcW w:w="0" w:type="auto"/>
            <w:shd w:val="clear" w:color="auto" w:fill="auto"/>
            <w:noWrap/>
            <w:hideMark/>
          </w:tcPr>
          <w:p w14:paraId="56F991CD" w14:textId="77777777" w:rsidR="005B0FBC" w:rsidRPr="0063633D" w:rsidRDefault="005B0FBC" w:rsidP="005E0688">
            <w:pPr>
              <w:spacing w:line="240" w:lineRule="auto"/>
              <w:rPr>
                <w:b/>
                <w:bCs/>
                <w:lang w:val="en-GB" w:eastAsia="en-GB"/>
              </w:rPr>
            </w:pPr>
            <w:r w:rsidRPr="0063633D">
              <w:rPr>
                <w:b/>
                <w:bCs/>
                <w:lang w:val="en-GB" w:eastAsia="en-GB"/>
              </w:rPr>
              <w:t>1</w:t>
            </w:r>
          </w:p>
        </w:tc>
        <w:tc>
          <w:tcPr>
            <w:tcW w:w="2289" w:type="dxa"/>
            <w:shd w:val="clear" w:color="auto" w:fill="auto"/>
            <w:hideMark/>
          </w:tcPr>
          <w:p w14:paraId="3F5B4C20" w14:textId="77777777" w:rsidR="005B0FBC" w:rsidRPr="0063633D" w:rsidRDefault="005B0FBC" w:rsidP="005E0688">
            <w:pPr>
              <w:spacing w:line="240" w:lineRule="auto"/>
              <w:rPr>
                <w:lang w:val="en-GB" w:eastAsia="en-GB"/>
              </w:rPr>
            </w:pPr>
            <w:r w:rsidRPr="0063633D">
              <w:rPr>
                <w:lang w:val="en-GB" w:eastAsia="en-GB"/>
              </w:rPr>
              <w:t xml:space="preserve">Hazards exposure </w:t>
            </w:r>
          </w:p>
        </w:tc>
        <w:tc>
          <w:tcPr>
            <w:tcW w:w="4851" w:type="dxa"/>
            <w:shd w:val="clear" w:color="auto" w:fill="auto"/>
            <w:hideMark/>
          </w:tcPr>
          <w:p w14:paraId="2C843B9F" w14:textId="77777777" w:rsidR="005B0FBC" w:rsidRPr="0063633D" w:rsidRDefault="005B0FBC" w:rsidP="005E0688">
            <w:pPr>
              <w:spacing w:line="240" w:lineRule="auto"/>
              <w:jc w:val="both"/>
              <w:rPr>
                <w:lang w:val="en-GB" w:eastAsia="en-GB"/>
              </w:rPr>
            </w:pPr>
            <w:r w:rsidRPr="0063633D">
              <w:rPr>
                <w:iCs/>
                <w:color w:val="000000"/>
                <w:lang w:val="en-GB" w:eastAsia="en-GB"/>
              </w:rPr>
              <w:t>Occasionally there is flooding of farms close to the banks of the rivers in the landscape</w:t>
            </w:r>
          </w:p>
        </w:tc>
        <w:tc>
          <w:tcPr>
            <w:tcW w:w="5386" w:type="dxa"/>
            <w:shd w:val="clear" w:color="auto" w:fill="auto"/>
            <w:hideMark/>
          </w:tcPr>
          <w:p w14:paraId="67F00DFD" w14:textId="77777777" w:rsidR="005B0FBC" w:rsidRPr="0063633D" w:rsidRDefault="005B0FBC" w:rsidP="005E0688">
            <w:pPr>
              <w:spacing w:line="240" w:lineRule="auto"/>
              <w:jc w:val="both"/>
              <w:rPr>
                <w:iCs/>
                <w:color w:val="000000"/>
                <w:lang w:val="en-GB" w:eastAsia="en-GB"/>
              </w:rPr>
            </w:pPr>
            <w:r w:rsidRPr="0063633D">
              <w:rPr>
                <w:iCs/>
                <w:color w:val="000000"/>
                <w:lang w:val="en-GB" w:eastAsia="en-GB"/>
              </w:rPr>
              <w:t xml:space="preserve">Occasionally there is flooding of farms close to the banks of the Tano river in </w:t>
            </w:r>
            <w:proofErr w:type="spellStart"/>
            <w:r w:rsidRPr="0063633D">
              <w:rPr>
                <w:iCs/>
                <w:color w:val="000000"/>
                <w:lang w:val="en-GB" w:eastAsia="en-GB"/>
              </w:rPr>
              <w:t>Sefwi</w:t>
            </w:r>
            <w:proofErr w:type="spellEnd"/>
            <w:r w:rsidRPr="0063633D">
              <w:rPr>
                <w:iCs/>
                <w:color w:val="000000"/>
                <w:lang w:val="en-GB" w:eastAsia="en-GB"/>
              </w:rPr>
              <w:t xml:space="preserve"> </w:t>
            </w:r>
            <w:proofErr w:type="spellStart"/>
            <w:r w:rsidRPr="0063633D">
              <w:rPr>
                <w:iCs/>
                <w:color w:val="000000"/>
                <w:lang w:val="en-GB" w:eastAsia="en-GB"/>
              </w:rPr>
              <w:t>Wiawso</w:t>
            </w:r>
            <w:proofErr w:type="spellEnd"/>
            <w:r w:rsidRPr="0063633D">
              <w:rPr>
                <w:iCs/>
                <w:color w:val="000000"/>
                <w:lang w:val="en-GB" w:eastAsia="en-GB"/>
              </w:rPr>
              <w:t>.</w:t>
            </w:r>
          </w:p>
          <w:p w14:paraId="7F558AD5" w14:textId="77777777" w:rsidR="005B0FBC" w:rsidRPr="0063633D" w:rsidRDefault="005B0FBC" w:rsidP="005E0688">
            <w:pPr>
              <w:spacing w:line="240" w:lineRule="auto"/>
              <w:jc w:val="both"/>
              <w:rPr>
                <w:lang w:val="en-GB" w:eastAsia="en-GB"/>
              </w:rPr>
            </w:pPr>
            <w:r w:rsidRPr="0063633D">
              <w:rPr>
                <w:lang w:val="en-GB" w:eastAsia="en-GB"/>
              </w:rPr>
              <w:t>The landscape often experiences concentrated downpours up to 178mm rainfall in a day,</w:t>
            </w:r>
          </w:p>
          <w:p w14:paraId="0FBC0B1D" w14:textId="77777777" w:rsidR="005B0FBC" w:rsidRPr="0063633D" w:rsidRDefault="005B0FBC" w:rsidP="005E0688">
            <w:pPr>
              <w:spacing w:line="240" w:lineRule="auto"/>
              <w:jc w:val="both"/>
              <w:rPr>
                <w:lang w:val="en-GB" w:eastAsia="en-GB"/>
              </w:rPr>
            </w:pPr>
            <w:r w:rsidRPr="0063633D">
              <w:rPr>
                <w:lang w:val="en-GB" w:eastAsia="en-GB"/>
              </w:rPr>
              <w:t>which often causes widespread flooding at some settlements due to the nature of the soil.</w:t>
            </w:r>
          </w:p>
        </w:tc>
      </w:tr>
      <w:tr w:rsidR="005B0FBC" w:rsidRPr="008E1239" w14:paraId="7DC22C82" w14:textId="77777777" w:rsidTr="004065FC">
        <w:trPr>
          <w:trHeight w:val="20"/>
        </w:trPr>
        <w:tc>
          <w:tcPr>
            <w:tcW w:w="0" w:type="auto"/>
            <w:shd w:val="clear" w:color="auto" w:fill="EDEDED"/>
            <w:noWrap/>
            <w:hideMark/>
          </w:tcPr>
          <w:p w14:paraId="5A9F5136" w14:textId="77777777" w:rsidR="005B0FBC" w:rsidRPr="0063633D" w:rsidRDefault="005B0FBC" w:rsidP="005E0688">
            <w:pPr>
              <w:spacing w:line="240" w:lineRule="auto"/>
              <w:rPr>
                <w:b/>
                <w:bCs/>
                <w:lang w:val="en-GB" w:eastAsia="en-GB"/>
              </w:rPr>
            </w:pPr>
            <w:r w:rsidRPr="0063633D">
              <w:rPr>
                <w:b/>
                <w:bCs/>
                <w:lang w:val="en-GB" w:eastAsia="en-GB"/>
              </w:rPr>
              <w:t>2</w:t>
            </w:r>
          </w:p>
        </w:tc>
        <w:tc>
          <w:tcPr>
            <w:tcW w:w="2289" w:type="dxa"/>
            <w:shd w:val="clear" w:color="auto" w:fill="EDEDED"/>
            <w:hideMark/>
          </w:tcPr>
          <w:p w14:paraId="2CFB649A" w14:textId="77777777" w:rsidR="005B0FBC" w:rsidRPr="0063633D" w:rsidRDefault="005B0FBC" w:rsidP="005E0688">
            <w:pPr>
              <w:spacing w:line="240" w:lineRule="auto"/>
              <w:rPr>
                <w:lang w:val="en-GB" w:eastAsia="en-GB"/>
              </w:rPr>
            </w:pPr>
            <w:r w:rsidRPr="0063633D">
              <w:rPr>
                <w:lang w:val="en-GB" w:eastAsia="en-GB"/>
              </w:rPr>
              <w:t>Agriculture and food security - important crops</w:t>
            </w:r>
          </w:p>
        </w:tc>
        <w:tc>
          <w:tcPr>
            <w:tcW w:w="4851" w:type="dxa"/>
            <w:shd w:val="clear" w:color="auto" w:fill="EDEDED"/>
            <w:hideMark/>
          </w:tcPr>
          <w:p w14:paraId="434F3592" w14:textId="77777777" w:rsidR="005B0FBC" w:rsidRPr="0063633D" w:rsidRDefault="005B0FBC" w:rsidP="005E0688">
            <w:pPr>
              <w:spacing w:line="240" w:lineRule="auto"/>
              <w:jc w:val="both"/>
              <w:rPr>
                <w:lang w:val="en-GB" w:eastAsia="en-GB"/>
              </w:rPr>
            </w:pPr>
            <w:r w:rsidRPr="0063633D">
              <w:rPr>
                <w:lang w:val="en-GB" w:eastAsia="en-GB"/>
              </w:rPr>
              <w:t xml:space="preserve">Cocoa, which is an important crop, is vulnerable to changes in climate. Other food crops are also moderately vulnerable and can be at risk based on projected 3%, reduction in rainfall in the High forest zone which includes </w:t>
            </w:r>
            <w:proofErr w:type="spellStart"/>
            <w:r w:rsidRPr="0063633D">
              <w:rPr>
                <w:lang w:val="en-GB" w:eastAsia="en-GB"/>
              </w:rPr>
              <w:t>Juabeso</w:t>
            </w:r>
            <w:proofErr w:type="spellEnd"/>
            <w:r w:rsidRPr="0063633D">
              <w:rPr>
                <w:lang w:val="en-GB" w:eastAsia="en-GB"/>
              </w:rPr>
              <w:t>- Bia by 2020</w:t>
            </w:r>
          </w:p>
        </w:tc>
        <w:tc>
          <w:tcPr>
            <w:tcW w:w="5386" w:type="dxa"/>
            <w:shd w:val="clear" w:color="auto" w:fill="EDEDED"/>
            <w:hideMark/>
          </w:tcPr>
          <w:p w14:paraId="50C702C5" w14:textId="77777777" w:rsidR="005B0FBC" w:rsidRPr="0063633D" w:rsidRDefault="005B0FBC" w:rsidP="005E0688">
            <w:pPr>
              <w:spacing w:line="240" w:lineRule="auto"/>
              <w:jc w:val="both"/>
              <w:rPr>
                <w:lang w:val="en-GB" w:eastAsia="en-GB"/>
              </w:rPr>
            </w:pPr>
            <w:r w:rsidRPr="0063633D">
              <w:rPr>
                <w:lang w:val="en-GB" w:eastAsia="en-GB"/>
              </w:rPr>
              <w:t xml:space="preserve">Cocoa, which is an important crop, is vulnerable to changes in climate. Other food crops (plantains, cocoyam, cassava and maize) are also moderately vulnerable and can be at risk based on projected 3%, reduction in rainfall in the High forest zone which includes </w:t>
            </w:r>
            <w:proofErr w:type="spellStart"/>
            <w:r w:rsidRPr="0063633D">
              <w:rPr>
                <w:lang w:val="en-GB" w:eastAsia="en-GB"/>
              </w:rPr>
              <w:t>Sefwi</w:t>
            </w:r>
            <w:proofErr w:type="spellEnd"/>
            <w:r w:rsidRPr="0063633D">
              <w:rPr>
                <w:lang w:val="en-GB" w:eastAsia="en-GB"/>
              </w:rPr>
              <w:t xml:space="preserve"> </w:t>
            </w:r>
            <w:proofErr w:type="spellStart"/>
            <w:r w:rsidRPr="0063633D">
              <w:rPr>
                <w:lang w:val="en-GB" w:eastAsia="en-GB"/>
              </w:rPr>
              <w:t>Wiawso</w:t>
            </w:r>
            <w:proofErr w:type="spellEnd"/>
            <w:r w:rsidRPr="0063633D">
              <w:rPr>
                <w:lang w:val="en-GB" w:eastAsia="en-GB"/>
              </w:rPr>
              <w:t xml:space="preserve"> landscape by 2020</w:t>
            </w:r>
          </w:p>
        </w:tc>
      </w:tr>
      <w:tr w:rsidR="005B0FBC" w:rsidRPr="008E1239" w14:paraId="228ECFA2" w14:textId="77777777" w:rsidTr="004065FC">
        <w:trPr>
          <w:trHeight w:val="20"/>
        </w:trPr>
        <w:tc>
          <w:tcPr>
            <w:tcW w:w="0" w:type="auto"/>
            <w:shd w:val="clear" w:color="auto" w:fill="auto"/>
            <w:noWrap/>
            <w:hideMark/>
          </w:tcPr>
          <w:p w14:paraId="1D327B7A" w14:textId="77777777" w:rsidR="005B0FBC" w:rsidRPr="0063633D" w:rsidRDefault="005B0FBC" w:rsidP="005E0688">
            <w:pPr>
              <w:spacing w:line="240" w:lineRule="auto"/>
              <w:rPr>
                <w:b/>
                <w:bCs/>
                <w:lang w:val="en-GB" w:eastAsia="en-GB"/>
              </w:rPr>
            </w:pPr>
            <w:r w:rsidRPr="0063633D">
              <w:rPr>
                <w:b/>
                <w:bCs/>
                <w:lang w:val="en-GB" w:eastAsia="en-GB"/>
              </w:rPr>
              <w:t>3</w:t>
            </w:r>
          </w:p>
        </w:tc>
        <w:tc>
          <w:tcPr>
            <w:tcW w:w="2289" w:type="dxa"/>
            <w:shd w:val="clear" w:color="auto" w:fill="auto"/>
            <w:hideMark/>
          </w:tcPr>
          <w:p w14:paraId="34B7C1BA" w14:textId="77777777" w:rsidR="005B0FBC" w:rsidRPr="0063633D" w:rsidRDefault="005B0FBC" w:rsidP="005E0688">
            <w:pPr>
              <w:spacing w:line="240" w:lineRule="auto"/>
              <w:rPr>
                <w:lang w:val="en-GB" w:eastAsia="en-GB"/>
              </w:rPr>
            </w:pPr>
            <w:r w:rsidRPr="0063633D">
              <w:rPr>
                <w:lang w:val="en-GB" w:eastAsia="en-GB"/>
              </w:rPr>
              <w:t>Livelihood dependency on crops</w:t>
            </w:r>
          </w:p>
        </w:tc>
        <w:tc>
          <w:tcPr>
            <w:tcW w:w="4851" w:type="dxa"/>
            <w:shd w:val="clear" w:color="auto" w:fill="auto"/>
            <w:hideMark/>
          </w:tcPr>
          <w:p w14:paraId="088FBE36" w14:textId="77777777" w:rsidR="005B0FBC" w:rsidRPr="0063633D" w:rsidRDefault="005B0FBC" w:rsidP="005E0688">
            <w:pPr>
              <w:spacing w:line="240" w:lineRule="auto"/>
              <w:jc w:val="both"/>
              <w:rPr>
                <w:lang w:val="en-GB" w:eastAsia="en-GB"/>
              </w:rPr>
            </w:pPr>
            <w:r w:rsidRPr="0063633D">
              <w:rPr>
                <w:lang w:val="en-GB" w:eastAsia="en-GB"/>
              </w:rPr>
              <w:t xml:space="preserve">Majority (97.2%) of agricultural household in the landscape are involved in crop farming. There is high dependency on cocoa, and food crops, diversity is moderate </w:t>
            </w:r>
          </w:p>
        </w:tc>
        <w:tc>
          <w:tcPr>
            <w:tcW w:w="5386" w:type="dxa"/>
            <w:shd w:val="clear" w:color="auto" w:fill="auto"/>
            <w:hideMark/>
          </w:tcPr>
          <w:p w14:paraId="0D80D598" w14:textId="77777777" w:rsidR="005B0FBC" w:rsidRPr="0063633D" w:rsidRDefault="005B0FBC" w:rsidP="005E0688">
            <w:pPr>
              <w:spacing w:line="240" w:lineRule="auto"/>
              <w:jc w:val="both"/>
              <w:rPr>
                <w:lang w:val="en-GB" w:eastAsia="en-GB"/>
              </w:rPr>
            </w:pPr>
            <w:r w:rsidRPr="0063633D">
              <w:rPr>
                <w:lang w:val="en-GB" w:eastAsia="en-GB"/>
              </w:rPr>
              <w:t xml:space="preserve">Majority (98.8%) </w:t>
            </w:r>
            <w:r w:rsidRPr="0063633D">
              <w:rPr>
                <w:lang w:val="en-GB"/>
              </w:rPr>
              <w:t>of</w:t>
            </w:r>
            <w:r w:rsidRPr="0063633D">
              <w:rPr>
                <w:lang w:val="en-GB" w:eastAsia="en-GB"/>
              </w:rPr>
              <w:t xml:space="preserve"> households in the landscape are in crop farming. There is high dependency on cocoa, and food crops, diversity is moderate</w:t>
            </w:r>
          </w:p>
        </w:tc>
      </w:tr>
      <w:tr w:rsidR="005B0FBC" w:rsidRPr="008E1239" w14:paraId="41A2DCCD" w14:textId="77777777" w:rsidTr="004065FC">
        <w:trPr>
          <w:trHeight w:val="20"/>
        </w:trPr>
        <w:tc>
          <w:tcPr>
            <w:tcW w:w="0" w:type="auto"/>
            <w:shd w:val="clear" w:color="auto" w:fill="EDEDED"/>
            <w:noWrap/>
            <w:hideMark/>
          </w:tcPr>
          <w:p w14:paraId="5BC04228" w14:textId="77777777" w:rsidR="005B0FBC" w:rsidRPr="0063633D" w:rsidRDefault="005B0FBC" w:rsidP="005E0688">
            <w:pPr>
              <w:spacing w:line="240" w:lineRule="auto"/>
              <w:rPr>
                <w:b/>
                <w:bCs/>
                <w:lang w:val="en-GB" w:eastAsia="en-GB"/>
              </w:rPr>
            </w:pPr>
            <w:r w:rsidRPr="0063633D">
              <w:rPr>
                <w:b/>
                <w:bCs/>
                <w:lang w:val="en-GB" w:eastAsia="en-GB"/>
              </w:rPr>
              <w:t>4</w:t>
            </w:r>
          </w:p>
        </w:tc>
        <w:tc>
          <w:tcPr>
            <w:tcW w:w="2289" w:type="dxa"/>
            <w:shd w:val="clear" w:color="auto" w:fill="EDEDED"/>
            <w:hideMark/>
          </w:tcPr>
          <w:p w14:paraId="79B6DD3B" w14:textId="77777777" w:rsidR="005B0FBC" w:rsidRPr="0063633D" w:rsidRDefault="005B0FBC" w:rsidP="005E0688">
            <w:pPr>
              <w:spacing w:line="240" w:lineRule="auto"/>
              <w:rPr>
                <w:lang w:val="en-GB" w:eastAsia="en-GB"/>
              </w:rPr>
            </w:pPr>
            <w:r w:rsidRPr="0063633D">
              <w:rPr>
                <w:lang w:val="en-GB" w:eastAsia="en-GB"/>
              </w:rPr>
              <w:t>Water sensitivity</w:t>
            </w:r>
          </w:p>
        </w:tc>
        <w:tc>
          <w:tcPr>
            <w:tcW w:w="4851" w:type="dxa"/>
            <w:shd w:val="clear" w:color="auto" w:fill="EDEDED"/>
            <w:hideMark/>
          </w:tcPr>
          <w:p w14:paraId="7752256E" w14:textId="77777777" w:rsidR="005B0FBC" w:rsidRPr="0063633D" w:rsidRDefault="005B0FBC" w:rsidP="005E0688">
            <w:pPr>
              <w:spacing w:line="240" w:lineRule="auto"/>
              <w:jc w:val="both"/>
              <w:rPr>
                <w:lang w:val="en-GB" w:eastAsia="en-GB"/>
              </w:rPr>
            </w:pPr>
            <w:r w:rsidRPr="0063633D">
              <w:rPr>
                <w:lang w:val="en-GB" w:eastAsia="en-GB"/>
              </w:rPr>
              <w:t xml:space="preserve">Most watersheds in the area are being affected by forest degradation and are likely to have impact on water availability in the landscape. About 50 per cent of the dwellings in, </w:t>
            </w:r>
            <w:proofErr w:type="spellStart"/>
            <w:r w:rsidRPr="0063633D">
              <w:rPr>
                <w:lang w:val="en-GB" w:eastAsia="en-GB"/>
              </w:rPr>
              <w:t>Juabeso</w:t>
            </w:r>
            <w:proofErr w:type="spellEnd"/>
            <w:r w:rsidRPr="0063633D">
              <w:rPr>
                <w:lang w:val="en-GB" w:eastAsia="en-GB"/>
              </w:rPr>
              <w:t>-Bia use wells as their main source of water</w:t>
            </w:r>
          </w:p>
        </w:tc>
        <w:tc>
          <w:tcPr>
            <w:tcW w:w="5386" w:type="dxa"/>
            <w:shd w:val="clear" w:color="auto" w:fill="EDEDED"/>
            <w:hideMark/>
          </w:tcPr>
          <w:p w14:paraId="2572D6B0" w14:textId="77777777" w:rsidR="005B0FBC" w:rsidRPr="0063633D" w:rsidRDefault="005B0FBC" w:rsidP="005E0688">
            <w:pPr>
              <w:spacing w:line="240" w:lineRule="auto"/>
              <w:jc w:val="both"/>
              <w:rPr>
                <w:lang w:val="en-GB" w:eastAsia="en-GB"/>
              </w:rPr>
            </w:pPr>
            <w:r w:rsidRPr="0063633D">
              <w:rPr>
                <w:lang w:val="en-GB" w:eastAsia="en-GB"/>
              </w:rPr>
              <w:t>Most watersheds in the area are being affected by forest degradation and are likely to have impact on water availability in the landscape.</w:t>
            </w:r>
            <w:r w:rsidRPr="0063633D">
              <w:rPr>
                <w:lang w:val="en-GB"/>
              </w:rPr>
              <w:t xml:space="preserve"> </w:t>
            </w:r>
            <w:r w:rsidRPr="0063633D">
              <w:rPr>
                <w:lang w:val="en-GB" w:eastAsia="en-GB"/>
              </w:rPr>
              <w:t xml:space="preserve">About 50 per cent of the dwellings in, </w:t>
            </w:r>
            <w:proofErr w:type="spellStart"/>
            <w:r w:rsidRPr="0063633D">
              <w:rPr>
                <w:lang w:val="en-GB" w:eastAsia="en-GB"/>
              </w:rPr>
              <w:t>Sefwi-Wiawso</w:t>
            </w:r>
            <w:proofErr w:type="spellEnd"/>
            <w:r w:rsidRPr="0063633D">
              <w:rPr>
                <w:lang w:val="en-GB" w:eastAsia="en-GB"/>
              </w:rPr>
              <w:t xml:space="preserve"> use wells as their main source of water.</w:t>
            </w:r>
          </w:p>
        </w:tc>
      </w:tr>
      <w:tr w:rsidR="005B0FBC" w:rsidRPr="008E1239" w14:paraId="6FA565EA" w14:textId="77777777" w:rsidTr="004065FC">
        <w:trPr>
          <w:trHeight w:val="20"/>
        </w:trPr>
        <w:tc>
          <w:tcPr>
            <w:tcW w:w="0" w:type="auto"/>
            <w:shd w:val="clear" w:color="auto" w:fill="auto"/>
            <w:noWrap/>
            <w:hideMark/>
          </w:tcPr>
          <w:p w14:paraId="1FFD8D86" w14:textId="77777777" w:rsidR="005B0FBC" w:rsidRPr="0063633D" w:rsidRDefault="005B0FBC" w:rsidP="005E0688">
            <w:pPr>
              <w:spacing w:line="240" w:lineRule="auto"/>
              <w:rPr>
                <w:b/>
                <w:bCs/>
                <w:lang w:val="en-GB" w:eastAsia="en-GB"/>
              </w:rPr>
            </w:pPr>
            <w:r w:rsidRPr="0063633D">
              <w:rPr>
                <w:b/>
                <w:bCs/>
                <w:lang w:val="en-GB" w:eastAsia="en-GB"/>
              </w:rPr>
              <w:t>5</w:t>
            </w:r>
          </w:p>
        </w:tc>
        <w:tc>
          <w:tcPr>
            <w:tcW w:w="2289" w:type="dxa"/>
            <w:shd w:val="clear" w:color="auto" w:fill="auto"/>
            <w:hideMark/>
          </w:tcPr>
          <w:p w14:paraId="5D2B1A7B" w14:textId="77777777" w:rsidR="005B0FBC" w:rsidRPr="0063633D" w:rsidRDefault="005B0FBC" w:rsidP="005E0688">
            <w:pPr>
              <w:spacing w:line="240" w:lineRule="auto"/>
              <w:rPr>
                <w:lang w:val="en-GB" w:eastAsia="en-GB"/>
              </w:rPr>
            </w:pPr>
            <w:r w:rsidRPr="0063633D">
              <w:rPr>
                <w:lang w:val="en-GB" w:eastAsia="en-GB"/>
              </w:rPr>
              <w:t>Biodiversity and ecosystems</w:t>
            </w:r>
          </w:p>
        </w:tc>
        <w:tc>
          <w:tcPr>
            <w:tcW w:w="4851" w:type="dxa"/>
            <w:shd w:val="clear" w:color="auto" w:fill="auto"/>
            <w:hideMark/>
          </w:tcPr>
          <w:p w14:paraId="59A3C17D" w14:textId="77777777" w:rsidR="005B0FBC" w:rsidRPr="0063633D" w:rsidRDefault="005B0FBC" w:rsidP="005E0688">
            <w:pPr>
              <w:spacing w:line="240" w:lineRule="auto"/>
              <w:jc w:val="both"/>
              <w:rPr>
                <w:lang w:val="en-GB" w:eastAsia="en-GB"/>
              </w:rPr>
            </w:pPr>
            <w:r w:rsidRPr="0063633D">
              <w:rPr>
                <w:lang w:val="en-GB" w:eastAsia="en-GB"/>
              </w:rPr>
              <w:t>Biodiversity (Flora and Fauna) are continuously under threat due to illegal establishment of cocoa farms in forest reserves</w:t>
            </w:r>
          </w:p>
        </w:tc>
        <w:tc>
          <w:tcPr>
            <w:tcW w:w="5386" w:type="dxa"/>
            <w:shd w:val="clear" w:color="auto" w:fill="auto"/>
            <w:hideMark/>
          </w:tcPr>
          <w:p w14:paraId="7A42CC52" w14:textId="77777777" w:rsidR="005B0FBC" w:rsidRPr="0063633D" w:rsidRDefault="005B0FBC" w:rsidP="005E0688">
            <w:pPr>
              <w:spacing w:line="240" w:lineRule="auto"/>
              <w:jc w:val="both"/>
              <w:rPr>
                <w:lang w:val="en-GB" w:eastAsia="en-GB"/>
              </w:rPr>
            </w:pPr>
            <w:r w:rsidRPr="0063633D">
              <w:rPr>
                <w:lang w:val="en-GB" w:eastAsia="en-GB"/>
              </w:rPr>
              <w:t>Biodiversity (Flora and Fauna) are continuously under threat due to illegal establishment of cocoa farms in forest reserves</w:t>
            </w:r>
          </w:p>
        </w:tc>
      </w:tr>
      <w:tr w:rsidR="005B0FBC" w:rsidRPr="008E1239" w14:paraId="492DA530" w14:textId="77777777" w:rsidTr="004065FC">
        <w:trPr>
          <w:trHeight w:val="20"/>
        </w:trPr>
        <w:tc>
          <w:tcPr>
            <w:tcW w:w="0" w:type="auto"/>
            <w:shd w:val="clear" w:color="auto" w:fill="EDEDED"/>
            <w:noWrap/>
            <w:hideMark/>
          </w:tcPr>
          <w:p w14:paraId="3743B33A" w14:textId="77777777" w:rsidR="005B0FBC" w:rsidRPr="0063633D" w:rsidRDefault="005B0FBC" w:rsidP="005E0688">
            <w:pPr>
              <w:spacing w:line="240" w:lineRule="auto"/>
              <w:rPr>
                <w:b/>
                <w:bCs/>
                <w:lang w:val="en-GB" w:eastAsia="en-GB"/>
              </w:rPr>
            </w:pPr>
            <w:r w:rsidRPr="0063633D">
              <w:rPr>
                <w:b/>
                <w:bCs/>
                <w:lang w:val="en-GB" w:eastAsia="en-GB"/>
              </w:rPr>
              <w:lastRenderedPageBreak/>
              <w:t>6</w:t>
            </w:r>
          </w:p>
        </w:tc>
        <w:tc>
          <w:tcPr>
            <w:tcW w:w="2289" w:type="dxa"/>
            <w:shd w:val="clear" w:color="auto" w:fill="EDEDED"/>
            <w:hideMark/>
          </w:tcPr>
          <w:p w14:paraId="3B3F7D3B" w14:textId="77777777" w:rsidR="005B0FBC" w:rsidRPr="0063633D" w:rsidRDefault="005B0FBC" w:rsidP="005E0688">
            <w:pPr>
              <w:spacing w:line="240" w:lineRule="auto"/>
              <w:rPr>
                <w:lang w:val="en-GB" w:eastAsia="en-GB"/>
              </w:rPr>
            </w:pPr>
            <w:r w:rsidRPr="0063633D">
              <w:rPr>
                <w:lang w:val="en-GB" w:eastAsia="en-GB"/>
              </w:rPr>
              <w:t>Health</w:t>
            </w:r>
          </w:p>
        </w:tc>
        <w:tc>
          <w:tcPr>
            <w:tcW w:w="4851" w:type="dxa"/>
            <w:shd w:val="clear" w:color="auto" w:fill="EDEDED"/>
            <w:hideMark/>
          </w:tcPr>
          <w:p w14:paraId="0DB40D04" w14:textId="77777777" w:rsidR="005B0FBC" w:rsidRPr="0063633D" w:rsidRDefault="005B0FBC" w:rsidP="005E0688">
            <w:pPr>
              <w:spacing w:line="240" w:lineRule="auto"/>
              <w:jc w:val="both"/>
              <w:rPr>
                <w:lang w:val="en-GB" w:eastAsia="en-GB"/>
              </w:rPr>
            </w:pPr>
            <w:r w:rsidRPr="0063633D">
              <w:rPr>
                <w:lang w:val="en-GB" w:eastAsia="en-GB"/>
              </w:rPr>
              <w:t>Health is generally good. However, access to health care facilities in most of the localities is poor</w:t>
            </w:r>
          </w:p>
        </w:tc>
        <w:tc>
          <w:tcPr>
            <w:tcW w:w="5386" w:type="dxa"/>
            <w:shd w:val="clear" w:color="auto" w:fill="EDEDED"/>
            <w:hideMark/>
          </w:tcPr>
          <w:p w14:paraId="4F63F7FE" w14:textId="77777777" w:rsidR="005B0FBC" w:rsidRPr="0063633D" w:rsidRDefault="005B0FBC" w:rsidP="005E0688">
            <w:pPr>
              <w:spacing w:line="240" w:lineRule="auto"/>
              <w:jc w:val="both"/>
              <w:rPr>
                <w:lang w:val="en-GB" w:eastAsia="en-GB"/>
              </w:rPr>
            </w:pPr>
            <w:r w:rsidRPr="0063633D">
              <w:rPr>
                <w:lang w:val="en-GB" w:eastAsia="en-GB"/>
              </w:rPr>
              <w:t>Health is generally good. However, access to health care facilities in most of the localities is poor</w:t>
            </w:r>
          </w:p>
        </w:tc>
      </w:tr>
      <w:tr w:rsidR="005B0FBC" w:rsidRPr="008E1239" w14:paraId="5D88338A" w14:textId="77777777" w:rsidTr="004065FC">
        <w:trPr>
          <w:trHeight w:val="20"/>
        </w:trPr>
        <w:tc>
          <w:tcPr>
            <w:tcW w:w="0" w:type="auto"/>
            <w:shd w:val="clear" w:color="auto" w:fill="auto"/>
            <w:noWrap/>
            <w:hideMark/>
          </w:tcPr>
          <w:p w14:paraId="7726FB13" w14:textId="77777777" w:rsidR="005B0FBC" w:rsidRPr="0063633D" w:rsidRDefault="005B0FBC" w:rsidP="005E0688">
            <w:pPr>
              <w:spacing w:line="240" w:lineRule="auto"/>
              <w:rPr>
                <w:b/>
                <w:bCs/>
                <w:lang w:val="en-GB" w:eastAsia="en-GB"/>
              </w:rPr>
            </w:pPr>
            <w:r w:rsidRPr="0063633D">
              <w:rPr>
                <w:b/>
                <w:bCs/>
                <w:lang w:val="en-GB" w:eastAsia="en-GB"/>
              </w:rPr>
              <w:t>7</w:t>
            </w:r>
          </w:p>
        </w:tc>
        <w:tc>
          <w:tcPr>
            <w:tcW w:w="2289" w:type="dxa"/>
            <w:shd w:val="clear" w:color="auto" w:fill="auto"/>
            <w:hideMark/>
          </w:tcPr>
          <w:p w14:paraId="2D7B0389" w14:textId="77777777" w:rsidR="005B0FBC" w:rsidRPr="0063633D" w:rsidRDefault="005B0FBC" w:rsidP="005E0688">
            <w:pPr>
              <w:spacing w:line="240" w:lineRule="auto"/>
              <w:rPr>
                <w:lang w:val="en-GB" w:eastAsia="en-GB"/>
              </w:rPr>
            </w:pPr>
            <w:r w:rsidRPr="0063633D">
              <w:rPr>
                <w:lang w:val="en-GB" w:eastAsia="en-GB"/>
              </w:rPr>
              <w:t>Adaptive capacity on economy, land tenure and governance</w:t>
            </w:r>
          </w:p>
        </w:tc>
        <w:tc>
          <w:tcPr>
            <w:tcW w:w="4851" w:type="dxa"/>
            <w:shd w:val="clear" w:color="auto" w:fill="auto"/>
            <w:hideMark/>
          </w:tcPr>
          <w:p w14:paraId="63436D84" w14:textId="77777777" w:rsidR="005B0FBC" w:rsidRPr="0063633D" w:rsidRDefault="005B0FBC" w:rsidP="005E0688">
            <w:pPr>
              <w:spacing w:line="240" w:lineRule="auto"/>
              <w:jc w:val="both"/>
              <w:rPr>
                <w:lang w:val="en-GB" w:eastAsia="en-GB"/>
              </w:rPr>
            </w:pPr>
            <w:r w:rsidRPr="0063633D">
              <w:rPr>
                <w:lang w:val="en-GB" w:eastAsia="en-GB"/>
              </w:rPr>
              <w:t>A high percentage (74.5%) of the household are engaged agriculture, which constitutes the main source of household income. Income sources are moderately resilience. However, tree security and land tenure governance are challenge</w:t>
            </w:r>
          </w:p>
        </w:tc>
        <w:tc>
          <w:tcPr>
            <w:tcW w:w="5386" w:type="dxa"/>
            <w:shd w:val="clear" w:color="auto" w:fill="auto"/>
            <w:hideMark/>
          </w:tcPr>
          <w:p w14:paraId="2CCD5D7C" w14:textId="77777777" w:rsidR="005B0FBC" w:rsidRPr="0063633D" w:rsidRDefault="005B0FBC" w:rsidP="005E0688">
            <w:pPr>
              <w:spacing w:line="240" w:lineRule="auto"/>
              <w:jc w:val="both"/>
              <w:rPr>
                <w:lang w:val="en-GB" w:eastAsia="en-GB"/>
              </w:rPr>
            </w:pPr>
            <w:r w:rsidRPr="0063633D">
              <w:rPr>
                <w:lang w:val="en-GB" w:eastAsia="en-GB"/>
              </w:rPr>
              <w:t>A high percentage (66 %) of the working population engaged in agriculture, which constitutes the main source of household income. Income sources are moderately resilience. However, tree security and land tenure governance are challenge</w:t>
            </w:r>
          </w:p>
        </w:tc>
      </w:tr>
      <w:tr w:rsidR="005B0FBC" w:rsidRPr="008E1239" w14:paraId="35A6FD53" w14:textId="77777777" w:rsidTr="004065FC">
        <w:trPr>
          <w:trHeight w:val="20"/>
        </w:trPr>
        <w:tc>
          <w:tcPr>
            <w:tcW w:w="0" w:type="auto"/>
            <w:shd w:val="clear" w:color="auto" w:fill="EDEDED"/>
            <w:noWrap/>
            <w:hideMark/>
          </w:tcPr>
          <w:p w14:paraId="4D2E18A3" w14:textId="77777777" w:rsidR="005B0FBC" w:rsidRPr="0063633D" w:rsidRDefault="005B0FBC" w:rsidP="005E0688">
            <w:pPr>
              <w:spacing w:line="240" w:lineRule="auto"/>
              <w:rPr>
                <w:b/>
                <w:bCs/>
                <w:lang w:val="en-GB" w:eastAsia="en-GB"/>
              </w:rPr>
            </w:pPr>
            <w:r w:rsidRPr="0063633D">
              <w:rPr>
                <w:b/>
                <w:bCs/>
                <w:lang w:val="en-GB" w:eastAsia="en-GB"/>
              </w:rPr>
              <w:t>8</w:t>
            </w:r>
          </w:p>
        </w:tc>
        <w:tc>
          <w:tcPr>
            <w:tcW w:w="2289" w:type="dxa"/>
            <w:shd w:val="clear" w:color="auto" w:fill="EDEDED"/>
            <w:hideMark/>
          </w:tcPr>
          <w:p w14:paraId="7C740771" w14:textId="77777777" w:rsidR="005B0FBC" w:rsidRPr="0063633D" w:rsidRDefault="005B0FBC" w:rsidP="005E0688">
            <w:pPr>
              <w:spacing w:line="240" w:lineRule="auto"/>
              <w:rPr>
                <w:lang w:val="en-GB" w:eastAsia="en-GB"/>
              </w:rPr>
            </w:pPr>
            <w:r w:rsidRPr="0063633D">
              <w:rPr>
                <w:lang w:val="en-GB" w:eastAsia="en-GB"/>
              </w:rPr>
              <w:t>Human assets</w:t>
            </w:r>
          </w:p>
        </w:tc>
        <w:tc>
          <w:tcPr>
            <w:tcW w:w="4851" w:type="dxa"/>
            <w:shd w:val="clear" w:color="auto" w:fill="EDEDED"/>
            <w:hideMark/>
          </w:tcPr>
          <w:p w14:paraId="0A4E7F47" w14:textId="77777777" w:rsidR="005B0FBC" w:rsidRPr="0063633D" w:rsidRDefault="005B0FBC" w:rsidP="005E0688">
            <w:pPr>
              <w:spacing w:line="240" w:lineRule="auto"/>
              <w:jc w:val="both"/>
              <w:rPr>
                <w:lang w:val="en-GB" w:eastAsia="en-GB"/>
              </w:rPr>
            </w:pPr>
            <w:r w:rsidRPr="0063633D">
              <w:rPr>
                <w:lang w:val="en-GB" w:eastAsia="en-GB"/>
              </w:rPr>
              <w:t>Accessibility to educational facilities is moderate. Education, traditional knowledge and skills are also moderate.</w:t>
            </w:r>
          </w:p>
        </w:tc>
        <w:tc>
          <w:tcPr>
            <w:tcW w:w="5386" w:type="dxa"/>
            <w:shd w:val="clear" w:color="auto" w:fill="EDEDED"/>
            <w:hideMark/>
          </w:tcPr>
          <w:p w14:paraId="007578C6" w14:textId="77777777" w:rsidR="005B0FBC" w:rsidRPr="0063633D" w:rsidRDefault="005B0FBC" w:rsidP="005E0688">
            <w:pPr>
              <w:spacing w:line="240" w:lineRule="auto"/>
              <w:jc w:val="both"/>
              <w:rPr>
                <w:lang w:val="en-GB" w:eastAsia="en-GB"/>
              </w:rPr>
            </w:pPr>
            <w:r w:rsidRPr="0063633D">
              <w:rPr>
                <w:lang w:val="en-GB" w:eastAsia="en-GB"/>
              </w:rPr>
              <w:t xml:space="preserve">Accessibility to educational facilities is moderate. Education, traditional knowledge and skills are also moderate. </w:t>
            </w:r>
          </w:p>
        </w:tc>
      </w:tr>
      <w:tr w:rsidR="005B0FBC" w:rsidRPr="008E1239" w14:paraId="0779F4EC" w14:textId="77777777" w:rsidTr="004065FC">
        <w:trPr>
          <w:trHeight w:val="20"/>
        </w:trPr>
        <w:tc>
          <w:tcPr>
            <w:tcW w:w="0" w:type="auto"/>
            <w:shd w:val="clear" w:color="auto" w:fill="auto"/>
            <w:noWrap/>
            <w:hideMark/>
          </w:tcPr>
          <w:p w14:paraId="6251383C" w14:textId="77777777" w:rsidR="005B0FBC" w:rsidRPr="0063633D" w:rsidRDefault="005B0FBC" w:rsidP="005E0688">
            <w:pPr>
              <w:spacing w:line="240" w:lineRule="auto"/>
              <w:rPr>
                <w:b/>
                <w:bCs/>
                <w:lang w:val="en-GB" w:eastAsia="en-GB"/>
              </w:rPr>
            </w:pPr>
            <w:r w:rsidRPr="0063633D">
              <w:rPr>
                <w:b/>
                <w:bCs/>
                <w:lang w:val="en-GB" w:eastAsia="en-GB"/>
              </w:rPr>
              <w:t>9</w:t>
            </w:r>
          </w:p>
        </w:tc>
        <w:tc>
          <w:tcPr>
            <w:tcW w:w="2289" w:type="dxa"/>
            <w:shd w:val="clear" w:color="auto" w:fill="auto"/>
            <w:hideMark/>
          </w:tcPr>
          <w:p w14:paraId="60E74E5B" w14:textId="77777777" w:rsidR="005B0FBC" w:rsidRPr="0063633D" w:rsidRDefault="005B0FBC" w:rsidP="005E0688">
            <w:pPr>
              <w:spacing w:line="240" w:lineRule="auto"/>
              <w:rPr>
                <w:lang w:val="en-GB" w:eastAsia="en-GB"/>
              </w:rPr>
            </w:pPr>
            <w:r w:rsidRPr="0063633D">
              <w:rPr>
                <w:lang w:val="en-GB" w:eastAsia="en-GB"/>
              </w:rPr>
              <w:t>Social assets</w:t>
            </w:r>
          </w:p>
        </w:tc>
        <w:tc>
          <w:tcPr>
            <w:tcW w:w="4851" w:type="dxa"/>
            <w:shd w:val="clear" w:color="auto" w:fill="auto"/>
            <w:hideMark/>
          </w:tcPr>
          <w:p w14:paraId="24B5DCDD" w14:textId="77777777" w:rsidR="005B0FBC" w:rsidRPr="0063633D" w:rsidRDefault="005B0FBC" w:rsidP="005E0688">
            <w:pPr>
              <w:spacing w:line="240" w:lineRule="auto"/>
              <w:jc w:val="both"/>
              <w:rPr>
                <w:lang w:val="en-GB" w:eastAsia="en-GB"/>
              </w:rPr>
            </w:pPr>
            <w:r w:rsidRPr="0063633D">
              <w:rPr>
                <w:lang w:val="en-GB" w:eastAsia="en-GB"/>
              </w:rPr>
              <w:t xml:space="preserve">Social networks, and government services are relatively good. Land use plans are still under development </w:t>
            </w:r>
          </w:p>
        </w:tc>
        <w:tc>
          <w:tcPr>
            <w:tcW w:w="5386" w:type="dxa"/>
            <w:shd w:val="clear" w:color="auto" w:fill="auto"/>
            <w:hideMark/>
          </w:tcPr>
          <w:p w14:paraId="6FE6E206" w14:textId="77777777" w:rsidR="005B0FBC" w:rsidRPr="0063633D" w:rsidRDefault="005B0FBC" w:rsidP="005E0688">
            <w:pPr>
              <w:spacing w:line="240" w:lineRule="auto"/>
              <w:jc w:val="both"/>
              <w:rPr>
                <w:lang w:val="en-GB" w:eastAsia="en-GB"/>
              </w:rPr>
            </w:pPr>
            <w:r w:rsidRPr="0063633D">
              <w:rPr>
                <w:lang w:val="en-GB" w:eastAsia="en-GB"/>
              </w:rPr>
              <w:t>Social networks, and government services are relatively good. Land use plans are still under development</w:t>
            </w:r>
          </w:p>
        </w:tc>
      </w:tr>
      <w:tr w:rsidR="005B0FBC" w:rsidRPr="008E1239" w14:paraId="59F50067" w14:textId="77777777" w:rsidTr="004065FC">
        <w:trPr>
          <w:trHeight w:val="20"/>
        </w:trPr>
        <w:tc>
          <w:tcPr>
            <w:tcW w:w="0" w:type="auto"/>
            <w:shd w:val="clear" w:color="auto" w:fill="EDEDED"/>
            <w:noWrap/>
            <w:hideMark/>
          </w:tcPr>
          <w:p w14:paraId="6CB5B535" w14:textId="77777777" w:rsidR="005B0FBC" w:rsidRPr="0063633D" w:rsidRDefault="005B0FBC" w:rsidP="005E0688">
            <w:pPr>
              <w:spacing w:line="240" w:lineRule="auto"/>
              <w:rPr>
                <w:b/>
                <w:bCs/>
                <w:lang w:val="en-GB" w:eastAsia="en-GB"/>
              </w:rPr>
            </w:pPr>
            <w:r w:rsidRPr="0063633D">
              <w:rPr>
                <w:b/>
                <w:bCs/>
                <w:lang w:val="en-GB" w:eastAsia="en-GB"/>
              </w:rPr>
              <w:t>10</w:t>
            </w:r>
          </w:p>
        </w:tc>
        <w:tc>
          <w:tcPr>
            <w:tcW w:w="2289" w:type="dxa"/>
            <w:shd w:val="clear" w:color="auto" w:fill="EDEDED"/>
            <w:hideMark/>
          </w:tcPr>
          <w:p w14:paraId="11F5AA4B" w14:textId="77777777" w:rsidR="005B0FBC" w:rsidRPr="0063633D" w:rsidRDefault="005B0FBC" w:rsidP="005E0688">
            <w:pPr>
              <w:spacing w:line="240" w:lineRule="auto"/>
              <w:rPr>
                <w:lang w:val="en-GB" w:eastAsia="en-GB"/>
              </w:rPr>
            </w:pPr>
            <w:r w:rsidRPr="0063633D">
              <w:rPr>
                <w:lang w:val="en-GB" w:eastAsia="en-GB"/>
              </w:rPr>
              <w:t>Natural assets</w:t>
            </w:r>
          </w:p>
        </w:tc>
        <w:tc>
          <w:tcPr>
            <w:tcW w:w="4851" w:type="dxa"/>
            <w:shd w:val="clear" w:color="auto" w:fill="EDEDED"/>
            <w:hideMark/>
          </w:tcPr>
          <w:p w14:paraId="1892B26D" w14:textId="77777777" w:rsidR="005B0FBC" w:rsidRPr="0063633D" w:rsidRDefault="005B0FBC" w:rsidP="005E0688">
            <w:pPr>
              <w:spacing w:line="240" w:lineRule="auto"/>
              <w:jc w:val="both"/>
              <w:rPr>
                <w:lang w:val="en-GB" w:eastAsia="en-GB"/>
              </w:rPr>
            </w:pPr>
            <w:r w:rsidRPr="0063633D">
              <w:rPr>
                <w:lang w:val="en-GB" w:eastAsia="en-GB"/>
              </w:rPr>
              <w:t xml:space="preserve">The area can boast of one of the few remaining continuous forest block and harbours high biodiversity. The land is suitable for cocoa and oil palm production. The Bia National Park located in the landscape and is a natural capital that can also be used for ecotourism purposes. Encroachment into these resources for illegal activities make them vulnerable  </w:t>
            </w:r>
          </w:p>
          <w:p w14:paraId="4ED3B565" w14:textId="77777777" w:rsidR="005B0FBC" w:rsidRPr="0063633D" w:rsidRDefault="005B0FBC" w:rsidP="005E0688">
            <w:pPr>
              <w:spacing w:line="240" w:lineRule="auto"/>
              <w:jc w:val="both"/>
              <w:rPr>
                <w:lang w:val="en-GB" w:eastAsia="en-GB"/>
              </w:rPr>
            </w:pPr>
          </w:p>
        </w:tc>
        <w:tc>
          <w:tcPr>
            <w:tcW w:w="5386" w:type="dxa"/>
            <w:shd w:val="clear" w:color="auto" w:fill="EDEDED"/>
            <w:hideMark/>
          </w:tcPr>
          <w:p w14:paraId="2AE2CD91" w14:textId="77777777" w:rsidR="005B0FBC" w:rsidRPr="0063633D" w:rsidRDefault="005B0FBC" w:rsidP="005E0688">
            <w:pPr>
              <w:spacing w:line="240" w:lineRule="auto"/>
              <w:jc w:val="both"/>
              <w:rPr>
                <w:lang w:val="en-GB" w:eastAsia="en-GB"/>
              </w:rPr>
            </w:pPr>
            <w:r w:rsidRPr="0063633D">
              <w:rPr>
                <w:lang w:val="en-GB" w:eastAsia="en-GB"/>
              </w:rPr>
              <w:t>The area can boast of one of the few remaining continuous forest block and harbours high biodiversity. The land is suitable for cocoa and oil palm production. However, there is a challenge of illegal farming, especially forest reserves located in the landscape</w:t>
            </w:r>
          </w:p>
        </w:tc>
      </w:tr>
      <w:tr w:rsidR="005B0FBC" w:rsidRPr="008E1239" w14:paraId="50F6AB94" w14:textId="77777777" w:rsidTr="004065FC">
        <w:trPr>
          <w:trHeight w:val="20"/>
        </w:trPr>
        <w:tc>
          <w:tcPr>
            <w:tcW w:w="0" w:type="auto"/>
            <w:shd w:val="clear" w:color="auto" w:fill="auto"/>
            <w:noWrap/>
            <w:hideMark/>
          </w:tcPr>
          <w:p w14:paraId="271D4942" w14:textId="77777777" w:rsidR="005B0FBC" w:rsidRPr="0063633D" w:rsidRDefault="005B0FBC" w:rsidP="005E0688">
            <w:pPr>
              <w:spacing w:line="240" w:lineRule="auto"/>
              <w:rPr>
                <w:b/>
                <w:bCs/>
                <w:lang w:val="en-GB" w:eastAsia="en-GB"/>
              </w:rPr>
            </w:pPr>
            <w:r w:rsidRPr="0063633D">
              <w:rPr>
                <w:b/>
                <w:bCs/>
                <w:lang w:val="en-GB" w:eastAsia="en-GB"/>
              </w:rPr>
              <w:t>11</w:t>
            </w:r>
          </w:p>
        </w:tc>
        <w:tc>
          <w:tcPr>
            <w:tcW w:w="2289" w:type="dxa"/>
            <w:shd w:val="clear" w:color="auto" w:fill="auto"/>
            <w:hideMark/>
          </w:tcPr>
          <w:p w14:paraId="29903AA6" w14:textId="77777777" w:rsidR="005B0FBC" w:rsidRPr="0063633D" w:rsidRDefault="005B0FBC" w:rsidP="005E0688">
            <w:pPr>
              <w:spacing w:line="240" w:lineRule="auto"/>
              <w:rPr>
                <w:lang w:val="en-GB" w:eastAsia="en-GB"/>
              </w:rPr>
            </w:pPr>
            <w:r w:rsidRPr="0063633D">
              <w:rPr>
                <w:lang w:val="en-GB" w:eastAsia="en-GB"/>
              </w:rPr>
              <w:t>Financial assets</w:t>
            </w:r>
          </w:p>
        </w:tc>
        <w:tc>
          <w:tcPr>
            <w:tcW w:w="4851" w:type="dxa"/>
            <w:shd w:val="clear" w:color="auto" w:fill="auto"/>
            <w:hideMark/>
          </w:tcPr>
          <w:p w14:paraId="1D26CBB2" w14:textId="77777777" w:rsidR="005B0FBC" w:rsidRPr="0063633D" w:rsidRDefault="005B0FBC" w:rsidP="005E0688">
            <w:pPr>
              <w:spacing w:line="240" w:lineRule="auto"/>
              <w:jc w:val="both"/>
              <w:rPr>
                <w:lang w:val="en-GB" w:eastAsia="en-GB"/>
              </w:rPr>
            </w:pPr>
            <w:r w:rsidRPr="0063633D">
              <w:rPr>
                <w:lang w:val="en-GB" w:eastAsia="en-GB"/>
              </w:rPr>
              <w:t>Access to finances is low as most financial institutions refuse to grant loans to small scale farmers because they view rain-fed agriculture as high risk</w:t>
            </w:r>
          </w:p>
        </w:tc>
        <w:tc>
          <w:tcPr>
            <w:tcW w:w="5386" w:type="dxa"/>
            <w:shd w:val="clear" w:color="auto" w:fill="auto"/>
            <w:hideMark/>
          </w:tcPr>
          <w:p w14:paraId="746139E3" w14:textId="77777777" w:rsidR="005B0FBC" w:rsidRPr="0063633D" w:rsidRDefault="005B0FBC" w:rsidP="005E0688">
            <w:pPr>
              <w:spacing w:line="240" w:lineRule="auto"/>
              <w:jc w:val="both"/>
              <w:rPr>
                <w:lang w:val="en-GB" w:eastAsia="en-GB"/>
              </w:rPr>
            </w:pPr>
            <w:r w:rsidRPr="0063633D">
              <w:rPr>
                <w:lang w:val="en-GB" w:eastAsia="en-GB"/>
              </w:rPr>
              <w:t>Access to finances is low as most financial institutions refuse to give loans to small scale farmers because they view rain-fed agriculture as high risk</w:t>
            </w:r>
          </w:p>
        </w:tc>
      </w:tr>
      <w:tr w:rsidR="005B0FBC" w:rsidRPr="008E1239" w14:paraId="7AE40124" w14:textId="77777777" w:rsidTr="004065FC">
        <w:trPr>
          <w:trHeight w:val="20"/>
        </w:trPr>
        <w:tc>
          <w:tcPr>
            <w:tcW w:w="0" w:type="auto"/>
            <w:shd w:val="clear" w:color="auto" w:fill="EDEDED"/>
            <w:noWrap/>
            <w:hideMark/>
          </w:tcPr>
          <w:p w14:paraId="22213F2F" w14:textId="77777777" w:rsidR="005B0FBC" w:rsidRPr="0063633D" w:rsidRDefault="005B0FBC" w:rsidP="005E0688">
            <w:pPr>
              <w:spacing w:line="240" w:lineRule="auto"/>
              <w:rPr>
                <w:b/>
                <w:bCs/>
                <w:lang w:val="en-GB" w:eastAsia="en-GB"/>
              </w:rPr>
            </w:pPr>
            <w:r w:rsidRPr="0063633D">
              <w:rPr>
                <w:b/>
                <w:bCs/>
                <w:lang w:val="en-GB" w:eastAsia="en-GB"/>
              </w:rPr>
              <w:t>12</w:t>
            </w:r>
          </w:p>
        </w:tc>
        <w:tc>
          <w:tcPr>
            <w:tcW w:w="2289" w:type="dxa"/>
            <w:shd w:val="clear" w:color="auto" w:fill="EDEDED"/>
            <w:hideMark/>
          </w:tcPr>
          <w:p w14:paraId="7081AF8F" w14:textId="77777777" w:rsidR="005B0FBC" w:rsidRPr="0063633D" w:rsidRDefault="005B0FBC" w:rsidP="005E0688">
            <w:pPr>
              <w:spacing w:line="240" w:lineRule="auto"/>
              <w:rPr>
                <w:lang w:val="en-GB" w:eastAsia="en-GB"/>
              </w:rPr>
            </w:pPr>
            <w:r w:rsidRPr="0063633D">
              <w:rPr>
                <w:lang w:val="en-GB" w:eastAsia="en-GB"/>
              </w:rPr>
              <w:t>Physical assets</w:t>
            </w:r>
          </w:p>
        </w:tc>
        <w:tc>
          <w:tcPr>
            <w:tcW w:w="4851" w:type="dxa"/>
            <w:shd w:val="clear" w:color="auto" w:fill="EDEDED"/>
            <w:hideMark/>
          </w:tcPr>
          <w:p w14:paraId="3A38F7B6" w14:textId="77777777" w:rsidR="005B0FBC" w:rsidRPr="0063633D" w:rsidRDefault="005B0FBC" w:rsidP="005E0688">
            <w:pPr>
              <w:spacing w:line="240" w:lineRule="auto"/>
              <w:jc w:val="both"/>
              <w:rPr>
                <w:lang w:val="en-GB" w:eastAsia="en-GB"/>
              </w:rPr>
            </w:pPr>
            <w:r w:rsidRPr="0063633D">
              <w:rPr>
                <w:lang w:val="en-GB"/>
              </w:rPr>
              <w:t>Physical infrastructure are relatively good in the urban areas. However, most of the rural areas lack amenities such as hospitals, facilities for good drinking water and good roads.</w:t>
            </w:r>
          </w:p>
        </w:tc>
        <w:tc>
          <w:tcPr>
            <w:tcW w:w="5386" w:type="dxa"/>
            <w:shd w:val="clear" w:color="auto" w:fill="EDEDED"/>
            <w:hideMark/>
          </w:tcPr>
          <w:p w14:paraId="3683D736" w14:textId="77777777" w:rsidR="005B0FBC" w:rsidRPr="0063633D" w:rsidRDefault="005B0FBC" w:rsidP="005E0688">
            <w:pPr>
              <w:spacing w:line="240" w:lineRule="auto"/>
              <w:jc w:val="both"/>
              <w:rPr>
                <w:lang w:val="en-GB" w:eastAsia="en-GB"/>
              </w:rPr>
            </w:pPr>
            <w:r w:rsidRPr="0063633D">
              <w:rPr>
                <w:lang w:val="en-GB" w:eastAsia="en-GB"/>
              </w:rPr>
              <w:t>Physical infrastructure are relatively good in the urban areas. However, most of the rural areas lack amenities such as hospitals, facilities for good drinking water and good roads.</w:t>
            </w:r>
          </w:p>
        </w:tc>
      </w:tr>
    </w:tbl>
    <w:p w14:paraId="180CA9B5" w14:textId="77777777" w:rsidR="005B0FBC" w:rsidRPr="00F6756E" w:rsidRDefault="005B0FBC" w:rsidP="00AF2576">
      <w:pPr>
        <w:rPr>
          <w:lang w:val="en-US"/>
        </w:rPr>
      </w:pPr>
    </w:p>
    <w:sectPr w:rsidR="005B0FBC" w:rsidRPr="00F6756E" w:rsidSect="005B0FBC">
      <w:pgSz w:w="16838" w:h="11906" w:orient="landscape"/>
      <w:pgMar w:top="1247" w:right="2098" w:bottom="1247" w:left="2183" w:header="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0876" w14:textId="77777777" w:rsidR="00100DEF" w:rsidRDefault="00100DEF" w:rsidP="0066041C">
      <w:pPr>
        <w:spacing w:line="240" w:lineRule="auto"/>
      </w:pPr>
      <w:r>
        <w:separator/>
      </w:r>
    </w:p>
  </w:endnote>
  <w:endnote w:type="continuationSeparator" w:id="0">
    <w:p w14:paraId="404C77DF" w14:textId="77777777" w:rsidR="00100DEF" w:rsidRDefault="00100DEF" w:rsidP="00660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ileron">
    <w:altName w:val="Calibri"/>
    <w:panose1 w:val="00000000000000000000"/>
    <w:charset w:val="00"/>
    <w:family w:val="modern"/>
    <w:notTrueType/>
    <w:pitch w:val="variable"/>
    <w:sig w:usb0="00000007" w:usb1="00000000" w:usb2="00000000" w:usb3="00000000" w:csb0="00000093" w:csb1="00000000"/>
  </w:font>
  <w:font w:name="Aileron Bold">
    <w:altName w:val="Calibri"/>
    <w:panose1 w:val="00000000000000000000"/>
    <w:charset w:val="00"/>
    <w:family w:val="modern"/>
    <w:notTrueType/>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ileron Ligh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ileron SemiBold">
    <w:altName w:val="Calibri"/>
    <w:panose1 w:val="00000000000000000000"/>
    <w:charset w:val="00"/>
    <w:family w:val="modern"/>
    <w:notTrueType/>
    <w:pitch w:val="variable"/>
    <w:sig w:usb0="00000007" w:usb1="00000000" w:usb2="00000000" w:usb3="00000000" w:csb0="00000093" w:csb1="00000000"/>
  </w:font>
  <w:font w:name="Symbol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Arial Nova">
    <w:altName w:val="Arial"/>
    <w:charset w:val="00"/>
    <w:family w:val="swiss"/>
    <w:pitch w:val="variable"/>
    <w:sig w:usb0="0000028F" w:usb1="00000002" w:usb2="00000000" w:usb3="00000000" w:csb0="0000019F" w:csb1="00000000"/>
  </w:font>
  <w:font w:name="Univers 45 Light">
    <w:altName w:val="Arial"/>
    <w:charset w:val="00"/>
    <w:family w:val="auto"/>
    <w:pitch w:val="variable"/>
  </w:font>
  <w:font w:name="UnitRoundedAt-Light">
    <w:panose1 w:val="00000000000000000000"/>
    <w:charset w:val="00"/>
    <w:family w:val="swiss"/>
    <w:notTrueType/>
    <w:pitch w:val="default"/>
    <w:sig w:usb0="20000003" w:usb1="00000000" w:usb2="00000000" w:usb3="00000000" w:csb0="00000101" w:csb1="00000000"/>
  </w:font>
  <w:font w:name="+mn-e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30"/>
      <w:gridCol w:w="1882"/>
    </w:tblGrid>
    <w:sdt>
      <w:sdtPr>
        <w:rPr>
          <w:rFonts w:asciiTheme="majorHAnsi" w:eastAsiaTheme="majorEastAsia" w:hAnsiTheme="majorHAnsi" w:cstheme="majorBidi"/>
          <w:szCs w:val="20"/>
        </w:rPr>
        <w:id w:val="-1695455843"/>
        <w:docPartObj>
          <w:docPartGallery w:val="Page Numbers (Bottom of Page)"/>
          <w:docPartUnique/>
        </w:docPartObj>
      </w:sdtPr>
      <w:sdtEndPr>
        <w:rPr>
          <w:rFonts w:ascii="Aileron" w:eastAsia="Times New Roman" w:hAnsi="Aileron" w:cs="Times New Roman"/>
          <w:szCs w:val="24"/>
        </w:rPr>
      </w:sdtEndPr>
      <w:sdtContent>
        <w:tr w:rsidR="004065FC" w14:paraId="4B180049" w14:textId="77777777">
          <w:trPr>
            <w:trHeight w:val="727"/>
          </w:trPr>
          <w:tc>
            <w:tcPr>
              <w:tcW w:w="4000" w:type="pct"/>
              <w:tcBorders>
                <w:right w:val="triple" w:sz="4" w:space="0" w:color="0098C3" w:themeColor="accent1"/>
              </w:tcBorders>
            </w:tcPr>
            <w:p w14:paraId="12E19313" w14:textId="28EEF8F5" w:rsidR="004065FC" w:rsidRDefault="004065FC">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0098C3" w:themeColor="accent1"/>
              </w:tcBorders>
            </w:tcPr>
            <w:p w14:paraId="72D406DB" w14:textId="72CFCCC1" w:rsidR="004065FC" w:rsidRDefault="004065F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8C82D52" w14:textId="77777777" w:rsidR="005E0688" w:rsidRPr="006D1958" w:rsidRDefault="005E0688" w:rsidP="006D1958">
    <w:pPr>
      <w:pStyle w:val="Voettekst"/>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E6E0" w14:textId="77777777" w:rsidR="005E0688" w:rsidRDefault="005E0688" w:rsidP="002A676E">
    <w:pPr>
      <w:pStyle w:val="Voettekst"/>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B9E6" w14:textId="77777777" w:rsidR="00100DEF" w:rsidRDefault="00100DEF" w:rsidP="0066041C">
      <w:pPr>
        <w:spacing w:line="240" w:lineRule="auto"/>
      </w:pPr>
      <w:r>
        <w:separator/>
      </w:r>
    </w:p>
  </w:footnote>
  <w:footnote w:type="continuationSeparator" w:id="0">
    <w:p w14:paraId="669FB50A" w14:textId="77777777" w:rsidR="00100DEF" w:rsidRDefault="00100DEF" w:rsidP="0066041C">
      <w:pPr>
        <w:spacing w:line="240" w:lineRule="auto"/>
      </w:pPr>
      <w:r>
        <w:continuationSeparator/>
      </w:r>
    </w:p>
  </w:footnote>
  <w:footnote w:id="1">
    <w:p w14:paraId="1A829E95" w14:textId="77777777" w:rsidR="005E0688" w:rsidRPr="00C25EF7" w:rsidRDefault="005E0688" w:rsidP="00C25EF7">
      <w:pPr>
        <w:pStyle w:val="Voetnoottekst"/>
        <w:rPr>
          <w:rFonts w:ascii="Aileron" w:hAnsi="Aileron"/>
          <w:sz w:val="18"/>
          <w:szCs w:val="18"/>
          <w:lang w:val="en-US"/>
        </w:rPr>
      </w:pPr>
      <w:r w:rsidRPr="00C25EF7">
        <w:rPr>
          <w:rStyle w:val="Voetnootmarkering"/>
          <w:rFonts w:ascii="Aileron" w:hAnsi="Aileron"/>
          <w:sz w:val="18"/>
          <w:szCs w:val="18"/>
        </w:rPr>
        <w:footnoteRef/>
      </w:r>
      <w:r w:rsidRPr="00C25EF7">
        <w:rPr>
          <w:rFonts w:ascii="Aileron" w:hAnsi="Aileron"/>
          <w:sz w:val="18"/>
          <w:szCs w:val="18"/>
        </w:rPr>
        <w:t xml:space="preserve"> </w:t>
      </w:r>
      <w:hyperlink r:id="rId1" w:history="1">
        <w:r w:rsidRPr="00C25EF7">
          <w:rPr>
            <w:rStyle w:val="Hyperlink"/>
            <w:rFonts w:ascii="Aileron" w:hAnsi="Aileron"/>
            <w:color w:val="auto"/>
            <w:sz w:val="18"/>
            <w:szCs w:val="18"/>
          </w:rPr>
          <w:t>https://www.fcghana.org/userfiles/files/REDD+/Ghana%20REDD+%20Strategy.pdf</w:t>
        </w:r>
      </w:hyperlink>
    </w:p>
  </w:footnote>
  <w:footnote w:id="2">
    <w:p w14:paraId="200A87E8" w14:textId="77777777" w:rsidR="005E0688" w:rsidRPr="00AF2576" w:rsidRDefault="005E0688" w:rsidP="00AF2576">
      <w:pPr>
        <w:pStyle w:val="Voetnoottekst"/>
        <w:rPr>
          <w:rFonts w:ascii="Aileron" w:hAnsi="Aileron"/>
          <w:sz w:val="18"/>
          <w:szCs w:val="18"/>
          <w:lang w:val="en-US"/>
        </w:rPr>
      </w:pPr>
      <w:r w:rsidRPr="00AF2576">
        <w:rPr>
          <w:rStyle w:val="Voetnootmarkering"/>
          <w:rFonts w:ascii="Aileron" w:hAnsi="Aileron"/>
          <w:sz w:val="18"/>
          <w:szCs w:val="18"/>
        </w:rPr>
        <w:footnoteRef/>
      </w:r>
      <w:r w:rsidRPr="00AF2576">
        <w:rPr>
          <w:rFonts w:ascii="Aileron" w:hAnsi="Aileron"/>
          <w:sz w:val="18"/>
          <w:szCs w:val="18"/>
          <w:lang w:val="en-US"/>
        </w:rPr>
        <w:t xml:space="preserve"> We refer to this as restoration</w:t>
      </w:r>
    </w:p>
  </w:footnote>
  <w:footnote w:id="3">
    <w:p w14:paraId="4F0C9796" w14:textId="77777777" w:rsidR="005E0688" w:rsidRPr="00CD02A5" w:rsidRDefault="005E0688" w:rsidP="00AF2576">
      <w:pPr>
        <w:pStyle w:val="Voetnoottekst"/>
        <w:rPr>
          <w:lang w:val="en-US"/>
        </w:rPr>
      </w:pPr>
      <w:r w:rsidRPr="00AF2576">
        <w:rPr>
          <w:rStyle w:val="Voetnootmarkering"/>
          <w:rFonts w:ascii="Aileron" w:hAnsi="Aileron"/>
          <w:sz w:val="18"/>
          <w:szCs w:val="18"/>
        </w:rPr>
        <w:footnoteRef/>
      </w:r>
      <w:r w:rsidRPr="00AF2576">
        <w:rPr>
          <w:rFonts w:ascii="Aileron" w:hAnsi="Aileron"/>
          <w:sz w:val="18"/>
          <w:szCs w:val="18"/>
          <w:lang w:val="en-US"/>
        </w:rPr>
        <w:t xml:space="preserve"> We refer to this as climate smart agriculture</w:t>
      </w:r>
    </w:p>
  </w:footnote>
  <w:footnote w:id="4">
    <w:p w14:paraId="7B81E466" w14:textId="77777777" w:rsidR="005E0688" w:rsidRPr="00F410BC" w:rsidRDefault="005E0688" w:rsidP="00BE50BB">
      <w:pPr>
        <w:pStyle w:val="Voetnoottekst"/>
        <w:rPr>
          <w:lang w:val="en-GB"/>
        </w:rPr>
      </w:pPr>
      <w:r>
        <w:rPr>
          <w:rStyle w:val="Voetnootmarkering"/>
        </w:rPr>
        <w:footnoteRef/>
      </w:r>
      <w:r>
        <w:t xml:space="preserve"> </w:t>
      </w:r>
      <w:r w:rsidRPr="00F410BC">
        <w:rPr>
          <w:lang w:val="en-GB"/>
        </w:rPr>
        <w:tab/>
      </w:r>
      <w:hyperlink r:id="rId2" w:history="1">
        <w:r w:rsidRPr="00F410BC">
          <w:rPr>
            <w:rStyle w:val="Hyperlink"/>
            <w:lang w:val="en-GB"/>
          </w:rPr>
          <w:t>https://liftkit.info/</w:t>
        </w:r>
      </w:hyperlink>
      <w:r w:rsidRPr="00F410BC">
        <w:rPr>
          <w:lang w:val="en-GB"/>
        </w:rPr>
        <w:t xml:space="preserve"> </w:t>
      </w:r>
    </w:p>
  </w:footnote>
  <w:footnote w:id="5">
    <w:p w14:paraId="31203A32" w14:textId="77777777" w:rsidR="005E0688" w:rsidRPr="005B0FBC" w:rsidRDefault="005E0688" w:rsidP="005B0FBC">
      <w:pPr>
        <w:pStyle w:val="Voetnoottekst"/>
        <w:rPr>
          <w:rFonts w:ascii="Aileron" w:hAnsi="Aileron"/>
          <w:sz w:val="18"/>
          <w:szCs w:val="18"/>
          <w:lang w:val="en-US"/>
        </w:rPr>
      </w:pPr>
      <w:r w:rsidRPr="005B0FBC">
        <w:rPr>
          <w:rStyle w:val="Voetnootmarkering"/>
          <w:rFonts w:ascii="Aileron" w:hAnsi="Aileron"/>
          <w:sz w:val="18"/>
          <w:szCs w:val="18"/>
        </w:rPr>
        <w:footnoteRef/>
      </w:r>
      <w:r w:rsidRPr="005B0FBC">
        <w:rPr>
          <w:rFonts w:ascii="Aileron" w:hAnsi="Aileron"/>
          <w:sz w:val="18"/>
          <w:szCs w:val="18"/>
          <w:lang w:val="en-US"/>
        </w:rPr>
        <w:t xml:space="preserve"> Now savanna development authority (SDA) following restructuring and review of development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4119" w14:textId="77777777" w:rsidR="005E0688" w:rsidRPr="0038385D" w:rsidRDefault="005E0688" w:rsidP="002A676E">
    <w:pPr>
      <w:pStyle w:val="Koptekst"/>
      <w:tabs>
        <w:tab w:val="clear" w:pos="4513"/>
        <w:tab w:val="clear" w:pos="9026"/>
      </w:tabs>
      <w:ind w:right="-6"/>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5B72" w14:textId="77777777" w:rsidR="005E0688" w:rsidRPr="002A676E" w:rsidRDefault="005E0688" w:rsidP="002C2558">
    <w:pPr>
      <w:pStyle w:val="Koptekst"/>
      <w:tabs>
        <w:tab w:val="clear" w:pos="4513"/>
        <w:tab w:val="clear" w:pos="9026"/>
      </w:tabs>
      <w:ind w:left="-426" w:right="-6"/>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95F"/>
    <w:multiLevelType w:val="hybridMultilevel"/>
    <w:tmpl w:val="39F27ECA"/>
    <w:lvl w:ilvl="0" w:tplc="254410E8">
      <w:start w:val="1"/>
      <w:numFmt w:val="bullet"/>
      <w:lvlText w:val="•"/>
      <w:lvlJc w:val="left"/>
      <w:pPr>
        <w:tabs>
          <w:tab w:val="num" w:pos="720"/>
        </w:tabs>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AC6591"/>
    <w:multiLevelType w:val="hybridMultilevel"/>
    <w:tmpl w:val="8258CEBC"/>
    <w:lvl w:ilvl="0" w:tplc="1F9E6996">
      <w:start w:val="1"/>
      <w:numFmt w:val="lowerRoman"/>
      <w:lvlText w:val="(%1)"/>
      <w:lvlJc w:val="left"/>
      <w:pPr>
        <w:ind w:left="720" w:hanging="360"/>
      </w:pPr>
      <w:rPr>
        <w:rFonts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34008F"/>
    <w:multiLevelType w:val="hybridMultilevel"/>
    <w:tmpl w:val="1FC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31FC8"/>
    <w:multiLevelType w:val="hybridMultilevel"/>
    <w:tmpl w:val="0694D978"/>
    <w:lvl w:ilvl="0" w:tplc="254410E8">
      <w:start w:val="1"/>
      <w:numFmt w:val="bullet"/>
      <w:lvlText w:val="•"/>
      <w:lvlJc w:val="left"/>
      <w:pPr>
        <w:tabs>
          <w:tab w:val="num" w:pos="720"/>
        </w:tabs>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0B32474"/>
    <w:multiLevelType w:val="hybridMultilevel"/>
    <w:tmpl w:val="4244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44A"/>
    <w:multiLevelType w:val="hybridMultilevel"/>
    <w:tmpl w:val="492A67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696FE8"/>
    <w:multiLevelType w:val="hybridMultilevel"/>
    <w:tmpl w:val="F474CEC0"/>
    <w:lvl w:ilvl="0" w:tplc="0409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00F40C7"/>
    <w:multiLevelType w:val="hybridMultilevel"/>
    <w:tmpl w:val="C9462974"/>
    <w:lvl w:ilvl="0" w:tplc="D24E933E">
      <w:start w:val="1"/>
      <w:numFmt w:val="bullet"/>
      <w:lvlText w:val="•"/>
      <w:lvlJc w:val="left"/>
      <w:pPr>
        <w:tabs>
          <w:tab w:val="num" w:pos="720"/>
        </w:tabs>
        <w:ind w:left="720" w:hanging="360"/>
      </w:pPr>
      <w:rPr>
        <w:rFonts w:ascii="Arial" w:hAnsi="Arial" w:hint="default"/>
      </w:rPr>
    </w:lvl>
    <w:lvl w:ilvl="1" w:tplc="34949BCA" w:tentative="1">
      <w:start w:val="1"/>
      <w:numFmt w:val="bullet"/>
      <w:lvlText w:val="•"/>
      <w:lvlJc w:val="left"/>
      <w:pPr>
        <w:tabs>
          <w:tab w:val="num" w:pos="1440"/>
        </w:tabs>
        <w:ind w:left="1440" w:hanging="360"/>
      </w:pPr>
      <w:rPr>
        <w:rFonts w:ascii="Arial" w:hAnsi="Arial" w:hint="default"/>
      </w:rPr>
    </w:lvl>
    <w:lvl w:ilvl="2" w:tplc="FDF66ACA" w:tentative="1">
      <w:start w:val="1"/>
      <w:numFmt w:val="bullet"/>
      <w:lvlText w:val="•"/>
      <w:lvlJc w:val="left"/>
      <w:pPr>
        <w:tabs>
          <w:tab w:val="num" w:pos="2160"/>
        </w:tabs>
        <w:ind w:left="2160" w:hanging="360"/>
      </w:pPr>
      <w:rPr>
        <w:rFonts w:ascii="Arial" w:hAnsi="Arial" w:hint="default"/>
      </w:rPr>
    </w:lvl>
    <w:lvl w:ilvl="3" w:tplc="610ED672" w:tentative="1">
      <w:start w:val="1"/>
      <w:numFmt w:val="bullet"/>
      <w:lvlText w:val="•"/>
      <w:lvlJc w:val="left"/>
      <w:pPr>
        <w:tabs>
          <w:tab w:val="num" w:pos="2880"/>
        </w:tabs>
        <w:ind w:left="2880" w:hanging="360"/>
      </w:pPr>
      <w:rPr>
        <w:rFonts w:ascii="Arial" w:hAnsi="Arial" w:hint="default"/>
      </w:rPr>
    </w:lvl>
    <w:lvl w:ilvl="4" w:tplc="86B690B4" w:tentative="1">
      <w:start w:val="1"/>
      <w:numFmt w:val="bullet"/>
      <w:lvlText w:val="•"/>
      <w:lvlJc w:val="left"/>
      <w:pPr>
        <w:tabs>
          <w:tab w:val="num" w:pos="3600"/>
        </w:tabs>
        <w:ind w:left="3600" w:hanging="360"/>
      </w:pPr>
      <w:rPr>
        <w:rFonts w:ascii="Arial" w:hAnsi="Arial" w:hint="default"/>
      </w:rPr>
    </w:lvl>
    <w:lvl w:ilvl="5" w:tplc="F13C1CC6" w:tentative="1">
      <w:start w:val="1"/>
      <w:numFmt w:val="bullet"/>
      <w:lvlText w:val="•"/>
      <w:lvlJc w:val="left"/>
      <w:pPr>
        <w:tabs>
          <w:tab w:val="num" w:pos="4320"/>
        </w:tabs>
        <w:ind w:left="4320" w:hanging="360"/>
      </w:pPr>
      <w:rPr>
        <w:rFonts w:ascii="Arial" w:hAnsi="Arial" w:hint="default"/>
      </w:rPr>
    </w:lvl>
    <w:lvl w:ilvl="6" w:tplc="19F299C4" w:tentative="1">
      <w:start w:val="1"/>
      <w:numFmt w:val="bullet"/>
      <w:lvlText w:val="•"/>
      <w:lvlJc w:val="left"/>
      <w:pPr>
        <w:tabs>
          <w:tab w:val="num" w:pos="5040"/>
        </w:tabs>
        <w:ind w:left="5040" w:hanging="360"/>
      </w:pPr>
      <w:rPr>
        <w:rFonts w:ascii="Arial" w:hAnsi="Arial" w:hint="default"/>
      </w:rPr>
    </w:lvl>
    <w:lvl w:ilvl="7" w:tplc="8884BE30" w:tentative="1">
      <w:start w:val="1"/>
      <w:numFmt w:val="bullet"/>
      <w:lvlText w:val="•"/>
      <w:lvlJc w:val="left"/>
      <w:pPr>
        <w:tabs>
          <w:tab w:val="num" w:pos="5760"/>
        </w:tabs>
        <w:ind w:left="5760" w:hanging="360"/>
      </w:pPr>
      <w:rPr>
        <w:rFonts w:ascii="Arial" w:hAnsi="Arial" w:hint="default"/>
      </w:rPr>
    </w:lvl>
    <w:lvl w:ilvl="8" w:tplc="E87C74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7B4EE5"/>
    <w:multiLevelType w:val="hybridMultilevel"/>
    <w:tmpl w:val="5F40A95E"/>
    <w:lvl w:ilvl="0" w:tplc="FF1467EE">
      <w:start w:val="1"/>
      <w:numFmt w:val="lowerLetter"/>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3194B02"/>
    <w:multiLevelType w:val="hybridMultilevel"/>
    <w:tmpl w:val="8606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B2435"/>
    <w:multiLevelType w:val="hybridMultilevel"/>
    <w:tmpl w:val="DB6C3F84"/>
    <w:lvl w:ilvl="0" w:tplc="FDB6CC14">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EA95C14"/>
    <w:multiLevelType w:val="hybridMultilevel"/>
    <w:tmpl w:val="3B5EF022"/>
    <w:lvl w:ilvl="0" w:tplc="C706BB20">
      <w:start w:val="1"/>
      <w:numFmt w:val="bullet"/>
      <w:pStyle w:val="BulletlistIUCNNL"/>
      <w:lvlText w:val=""/>
      <w:lvlJc w:val="left"/>
      <w:pPr>
        <w:ind w:left="720" w:hanging="360"/>
      </w:pPr>
      <w:rPr>
        <w:rFonts w:ascii="Symbol" w:hAnsi="Symbol" w:hint="default"/>
        <w:color w:val="0098C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EC4DFE"/>
    <w:multiLevelType w:val="hybridMultilevel"/>
    <w:tmpl w:val="78ACC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E39FB"/>
    <w:multiLevelType w:val="hybridMultilevel"/>
    <w:tmpl w:val="C6F2BE74"/>
    <w:lvl w:ilvl="0" w:tplc="0B4CD20A">
      <w:start w:val="1"/>
      <w:numFmt w:val="lowerLetter"/>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491BB0"/>
    <w:multiLevelType w:val="hybridMultilevel"/>
    <w:tmpl w:val="26E8F00C"/>
    <w:lvl w:ilvl="0" w:tplc="C38A18E8">
      <w:start w:val="1"/>
      <w:numFmt w:val="lowerLetter"/>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6685386"/>
    <w:multiLevelType w:val="hybridMultilevel"/>
    <w:tmpl w:val="06C2A4C2"/>
    <w:lvl w:ilvl="0" w:tplc="254410E8">
      <w:start w:val="1"/>
      <w:numFmt w:val="bullet"/>
      <w:lvlText w:val="•"/>
      <w:lvlJc w:val="left"/>
      <w:pPr>
        <w:tabs>
          <w:tab w:val="num" w:pos="720"/>
        </w:tabs>
        <w:ind w:left="720" w:hanging="360"/>
      </w:pPr>
      <w:rPr>
        <w:rFonts w:ascii="Arial" w:hAnsi="Arial" w:hint="default"/>
      </w:rPr>
    </w:lvl>
    <w:lvl w:ilvl="1" w:tplc="10CCC68C">
      <w:start w:val="1"/>
      <w:numFmt w:val="bullet"/>
      <w:lvlText w:val="•"/>
      <w:lvlJc w:val="left"/>
      <w:pPr>
        <w:tabs>
          <w:tab w:val="num" w:pos="1440"/>
        </w:tabs>
        <w:ind w:left="1440" w:hanging="360"/>
      </w:pPr>
      <w:rPr>
        <w:rFonts w:ascii="Arial" w:hAnsi="Arial" w:hint="default"/>
      </w:rPr>
    </w:lvl>
    <w:lvl w:ilvl="2" w:tplc="791243DE" w:tentative="1">
      <w:start w:val="1"/>
      <w:numFmt w:val="bullet"/>
      <w:lvlText w:val="•"/>
      <w:lvlJc w:val="left"/>
      <w:pPr>
        <w:tabs>
          <w:tab w:val="num" w:pos="2160"/>
        </w:tabs>
        <w:ind w:left="2160" w:hanging="360"/>
      </w:pPr>
      <w:rPr>
        <w:rFonts w:ascii="Arial" w:hAnsi="Arial" w:hint="default"/>
      </w:rPr>
    </w:lvl>
    <w:lvl w:ilvl="3" w:tplc="F2FA1106" w:tentative="1">
      <w:start w:val="1"/>
      <w:numFmt w:val="bullet"/>
      <w:lvlText w:val="•"/>
      <w:lvlJc w:val="left"/>
      <w:pPr>
        <w:tabs>
          <w:tab w:val="num" w:pos="2880"/>
        </w:tabs>
        <w:ind w:left="2880" w:hanging="360"/>
      </w:pPr>
      <w:rPr>
        <w:rFonts w:ascii="Arial" w:hAnsi="Arial" w:hint="default"/>
      </w:rPr>
    </w:lvl>
    <w:lvl w:ilvl="4" w:tplc="7F98681C" w:tentative="1">
      <w:start w:val="1"/>
      <w:numFmt w:val="bullet"/>
      <w:lvlText w:val="•"/>
      <w:lvlJc w:val="left"/>
      <w:pPr>
        <w:tabs>
          <w:tab w:val="num" w:pos="3600"/>
        </w:tabs>
        <w:ind w:left="3600" w:hanging="360"/>
      </w:pPr>
      <w:rPr>
        <w:rFonts w:ascii="Arial" w:hAnsi="Arial" w:hint="default"/>
      </w:rPr>
    </w:lvl>
    <w:lvl w:ilvl="5" w:tplc="73AAA11E" w:tentative="1">
      <w:start w:val="1"/>
      <w:numFmt w:val="bullet"/>
      <w:lvlText w:val="•"/>
      <w:lvlJc w:val="left"/>
      <w:pPr>
        <w:tabs>
          <w:tab w:val="num" w:pos="4320"/>
        </w:tabs>
        <w:ind w:left="4320" w:hanging="360"/>
      </w:pPr>
      <w:rPr>
        <w:rFonts w:ascii="Arial" w:hAnsi="Arial" w:hint="default"/>
      </w:rPr>
    </w:lvl>
    <w:lvl w:ilvl="6" w:tplc="7CEABE0A" w:tentative="1">
      <w:start w:val="1"/>
      <w:numFmt w:val="bullet"/>
      <w:lvlText w:val="•"/>
      <w:lvlJc w:val="left"/>
      <w:pPr>
        <w:tabs>
          <w:tab w:val="num" w:pos="5040"/>
        </w:tabs>
        <w:ind w:left="5040" w:hanging="360"/>
      </w:pPr>
      <w:rPr>
        <w:rFonts w:ascii="Arial" w:hAnsi="Arial" w:hint="default"/>
      </w:rPr>
    </w:lvl>
    <w:lvl w:ilvl="7" w:tplc="131088B4" w:tentative="1">
      <w:start w:val="1"/>
      <w:numFmt w:val="bullet"/>
      <w:lvlText w:val="•"/>
      <w:lvlJc w:val="left"/>
      <w:pPr>
        <w:tabs>
          <w:tab w:val="num" w:pos="5760"/>
        </w:tabs>
        <w:ind w:left="5760" w:hanging="360"/>
      </w:pPr>
      <w:rPr>
        <w:rFonts w:ascii="Arial" w:hAnsi="Arial" w:hint="default"/>
      </w:rPr>
    </w:lvl>
    <w:lvl w:ilvl="8" w:tplc="C2363FB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4"/>
  </w:num>
  <w:num w:numId="4">
    <w:abstractNumId w:val="2"/>
  </w:num>
  <w:num w:numId="5">
    <w:abstractNumId w:val="6"/>
  </w:num>
  <w:num w:numId="6">
    <w:abstractNumId w:val="15"/>
  </w:num>
  <w:num w:numId="7">
    <w:abstractNumId w:val="9"/>
  </w:num>
  <w:num w:numId="8">
    <w:abstractNumId w:val="10"/>
  </w:num>
  <w:num w:numId="9">
    <w:abstractNumId w:val="8"/>
  </w:num>
  <w:num w:numId="10">
    <w:abstractNumId w:val="13"/>
  </w:num>
  <w:num w:numId="11">
    <w:abstractNumId w:val="14"/>
  </w:num>
  <w:num w:numId="12">
    <w:abstractNumId w:val="1"/>
  </w:num>
  <w:num w:numId="13">
    <w:abstractNumId w:val="5"/>
  </w:num>
  <w:num w:numId="14">
    <w:abstractNumId w:val="12"/>
  </w:num>
  <w:num w:numId="15">
    <w:abstractNumId w:val="0"/>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EA"/>
    <w:rsid w:val="000022A9"/>
    <w:rsid w:val="00004776"/>
    <w:rsid w:val="00015ECF"/>
    <w:rsid w:val="00016101"/>
    <w:rsid w:val="00046448"/>
    <w:rsid w:val="00046DF4"/>
    <w:rsid w:val="00047353"/>
    <w:rsid w:val="00064BA5"/>
    <w:rsid w:val="00065B86"/>
    <w:rsid w:val="00067DB3"/>
    <w:rsid w:val="00076C02"/>
    <w:rsid w:val="000773B4"/>
    <w:rsid w:val="00077A22"/>
    <w:rsid w:val="000A0E6D"/>
    <w:rsid w:val="000A204D"/>
    <w:rsid w:val="000A6A27"/>
    <w:rsid w:val="000B1230"/>
    <w:rsid w:val="000B25A5"/>
    <w:rsid w:val="000B579D"/>
    <w:rsid w:val="000C1E63"/>
    <w:rsid w:val="000C37AE"/>
    <w:rsid w:val="000C3AB2"/>
    <w:rsid w:val="000E7A34"/>
    <w:rsid w:val="000F0EF9"/>
    <w:rsid w:val="000F3770"/>
    <w:rsid w:val="000F6EEA"/>
    <w:rsid w:val="00100DEF"/>
    <w:rsid w:val="00101A90"/>
    <w:rsid w:val="00116F18"/>
    <w:rsid w:val="0011713B"/>
    <w:rsid w:val="001374E2"/>
    <w:rsid w:val="001420EC"/>
    <w:rsid w:val="0016062E"/>
    <w:rsid w:val="0016557A"/>
    <w:rsid w:val="001769B7"/>
    <w:rsid w:val="00180339"/>
    <w:rsid w:val="00182320"/>
    <w:rsid w:val="0019070D"/>
    <w:rsid w:val="001967D8"/>
    <w:rsid w:val="001A02DD"/>
    <w:rsid w:val="001A0B60"/>
    <w:rsid w:val="001B1135"/>
    <w:rsid w:val="001B1258"/>
    <w:rsid w:val="001B4E15"/>
    <w:rsid w:val="001B79BD"/>
    <w:rsid w:val="001C16FF"/>
    <w:rsid w:val="001C460D"/>
    <w:rsid w:val="001D2BB4"/>
    <w:rsid w:val="001F4D7E"/>
    <w:rsid w:val="002052FC"/>
    <w:rsid w:val="00211BB0"/>
    <w:rsid w:val="00211F14"/>
    <w:rsid w:val="002144F3"/>
    <w:rsid w:val="00221189"/>
    <w:rsid w:val="00234212"/>
    <w:rsid w:val="00235936"/>
    <w:rsid w:val="0026462F"/>
    <w:rsid w:val="00265D8A"/>
    <w:rsid w:val="00270495"/>
    <w:rsid w:val="00270E58"/>
    <w:rsid w:val="0028657B"/>
    <w:rsid w:val="002A2927"/>
    <w:rsid w:val="002A4D95"/>
    <w:rsid w:val="002A676E"/>
    <w:rsid w:val="002B4942"/>
    <w:rsid w:val="002B4DE0"/>
    <w:rsid w:val="002B75B8"/>
    <w:rsid w:val="002C1777"/>
    <w:rsid w:val="002C2558"/>
    <w:rsid w:val="002C71E2"/>
    <w:rsid w:val="002C7C8C"/>
    <w:rsid w:val="002D3D15"/>
    <w:rsid w:val="002D4538"/>
    <w:rsid w:val="002D5579"/>
    <w:rsid w:val="002F166C"/>
    <w:rsid w:val="002F2BFE"/>
    <w:rsid w:val="00300DF4"/>
    <w:rsid w:val="00316303"/>
    <w:rsid w:val="00316B4D"/>
    <w:rsid w:val="0032439B"/>
    <w:rsid w:val="003343FC"/>
    <w:rsid w:val="003406AC"/>
    <w:rsid w:val="00344824"/>
    <w:rsid w:val="00345A76"/>
    <w:rsid w:val="00346720"/>
    <w:rsid w:val="00353A94"/>
    <w:rsid w:val="0035515C"/>
    <w:rsid w:val="00357B40"/>
    <w:rsid w:val="0036675B"/>
    <w:rsid w:val="003707C6"/>
    <w:rsid w:val="0037234F"/>
    <w:rsid w:val="0038385D"/>
    <w:rsid w:val="0038454F"/>
    <w:rsid w:val="00384BC6"/>
    <w:rsid w:val="00384E06"/>
    <w:rsid w:val="0038664E"/>
    <w:rsid w:val="00391F7E"/>
    <w:rsid w:val="003A04DD"/>
    <w:rsid w:val="003A6FD5"/>
    <w:rsid w:val="003B0C03"/>
    <w:rsid w:val="003C4594"/>
    <w:rsid w:val="003D55F2"/>
    <w:rsid w:val="003E38B9"/>
    <w:rsid w:val="003E45AC"/>
    <w:rsid w:val="003E727A"/>
    <w:rsid w:val="003F1831"/>
    <w:rsid w:val="003F183D"/>
    <w:rsid w:val="003F5D21"/>
    <w:rsid w:val="004018B0"/>
    <w:rsid w:val="004041C5"/>
    <w:rsid w:val="00405B41"/>
    <w:rsid w:val="004065FC"/>
    <w:rsid w:val="0042579A"/>
    <w:rsid w:val="004412E4"/>
    <w:rsid w:val="004474E4"/>
    <w:rsid w:val="00450E9B"/>
    <w:rsid w:val="0046295E"/>
    <w:rsid w:val="00465447"/>
    <w:rsid w:val="004666D8"/>
    <w:rsid w:val="00472276"/>
    <w:rsid w:val="00481E4C"/>
    <w:rsid w:val="004862AB"/>
    <w:rsid w:val="004911DF"/>
    <w:rsid w:val="0049386E"/>
    <w:rsid w:val="004B568A"/>
    <w:rsid w:val="004B73D2"/>
    <w:rsid w:val="004D0AD7"/>
    <w:rsid w:val="004D3785"/>
    <w:rsid w:val="004E2655"/>
    <w:rsid w:val="00501575"/>
    <w:rsid w:val="005109A0"/>
    <w:rsid w:val="00516080"/>
    <w:rsid w:val="00525E87"/>
    <w:rsid w:val="005279C6"/>
    <w:rsid w:val="0053685B"/>
    <w:rsid w:val="00536991"/>
    <w:rsid w:val="00545FBF"/>
    <w:rsid w:val="00564EDC"/>
    <w:rsid w:val="00566962"/>
    <w:rsid w:val="00573092"/>
    <w:rsid w:val="005747E4"/>
    <w:rsid w:val="00580B4D"/>
    <w:rsid w:val="00592AEB"/>
    <w:rsid w:val="005A2762"/>
    <w:rsid w:val="005B0FBC"/>
    <w:rsid w:val="005B69AA"/>
    <w:rsid w:val="005C01CB"/>
    <w:rsid w:val="005E0688"/>
    <w:rsid w:val="005E42D8"/>
    <w:rsid w:val="005F6C3D"/>
    <w:rsid w:val="005F7152"/>
    <w:rsid w:val="0060261B"/>
    <w:rsid w:val="0061521B"/>
    <w:rsid w:val="00624210"/>
    <w:rsid w:val="006272BA"/>
    <w:rsid w:val="00634184"/>
    <w:rsid w:val="00642CBE"/>
    <w:rsid w:val="00647893"/>
    <w:rsid w:val="006533AC"/>
    <w:rsid w:val="00656C8D"/>
    <w:rsid w:val="00657562"/>
    <w:rsid w:val="0066041C"/>
    <w:rsid w:val="00662314"/>
    <w:rsid w:val="0066301E"/>
    <w:rsid w:val="00664C52"/>
    <w:rsid w:val="006731E8"/>
    <w:rsid w:val="006766E8"/>
    <w:rsid w:val="00680BEE"/>
    <w:rsid w:val="006918D9"/>
    <w:rsid w:val="00694718"/>
    <w:rsid w:val="006A17CF"/>
    <w:rsid w:val="006A5287"/>
    <w:rsid w:val="006B264E"/>
    <w:rsid w:val="006B4F00"/>
    <w:rsid w:val="006B596D"/>
    <w:rsid w:val="006C7B3C"/>
    <w:rsid w:val="006D1958"/>
    <w:rsid w:val="006D3FBF"/>
    <w:rsid w:val="006E3B1A"/>
    <w:rsid w:val="006E7B1A"/>
    <w:rsid w:val="006F149B"/>
    <w:rsid w:val="006F63EA"/>
    <w:rsid w:val="00702AFF"/>
    <w:rsid w:val="007077EB"/>
    <w:rsid w:val="007078CD"/>
    <w:rsid w:val="00717E1C"/>
    <w:rsid w:val="007202B0"/>
    <w:rsid w:val="007328F6"/>
    <w:rsid w:val="007613B4"/>
    <w:rsid w:val="00762C78"/>
    <w:rsid w:val="00764265"/>
    <w:rsid w:val="007646E8"/>
    <w:rsid w:val="00764C1B"/>
    <w:rsid w:val="007708CB"/>
    <w:rsid w:val="00773190"/>
    <w:rsid w:val="0077491D"/>
    <w:rsid w:val="0077614E"/>
    <w:rsid w:val="00777CA5"/>
    <w:rsid w:val="00783604"/>
    <w:rsid w:val="007918CD"/>
    <w:rsid w:val="00792B18"/>
    <w:rsid w:val="00793B35"/>
    <w:rsid w:val="00793BD3"/>
    <w:rsid w:val="007A0B78"/>
    <w:rsid w:val="007A0CA8"/>
    <w:rsid w:val="007B23FA"/>
    <w:rsid w:val="007B3551"/>
    <w:rsid w:val="007B798D"/>
    <w:rsid w:val="007D1A97"/>
    <w:rsid w:val="007D7985"/>
    <w:rsid w:val="007E2D11"/>
    <w:rsid w:val="007F0146"/>
    <w:rsid w:val="00806079"/>
    <w:rsid w:val="00806B4D"/>
    <w:rsid w:val="008148D9"/>
    <w:rsid w:val="00815206"/>
    <w:rsid w:val="0082289B"/>
    <w:rsid w:val="008277F8"/>
    <w:rsid w:val="0084490B"/>
    <w:rsid w:val="0086211A"/>
    <w:rsid w:val="00872D2C"/>
    <w:rsid w:val="0087725A"/>
    <w:rsid w:val="008903CA"/>
    <w:rsid w:val="008919B9"/>
    <w:rsid w:val="008A1FA5"/>
    <w:rsid w:val="008A6005"/>
    <w:rsid w:val="008B76D3"/>
    <w:rsid w:val="008C3486"/>
    <w:rsid w:val="008C78C6"/>
    <w:rsid w:val="008E1239"/>
    <w:rsid w:val="008E12FA"/>
    <w:rsid w:val="008E1C89"/>
    <w:rsid w:val="008E453E"/>
    <w:rsid w:val="008F061C"/>
    <w:rsid w:val="009010B7"/>
    <w:rsid w:val="009014F9"/>
    <w:rsid w:val="00901502"/>
    <w:rsid w:val="009056F4"/>
    <w:rsid w:val="009203DB"/>
    <w:rsid w:val="00921FD1"/>
    <w:rsid w:val="009225DD"/>
    <w:rsid w:val="00924D46"/>
    <w:rsid w:val="009346D2"/>
    <w:rsid w:val="0094222C"/>
    <w:rsid w:val="0094314A"/>
    <w:rsid w:val="00952434"/>
    <w:rsid w:val="00953A10"/>
    <w:rsid w:val="00954DED"/>
    <w:rsid w:val="00965788"/>
    <w:rsid w:val="00976155"/>
    <w:rsid w:val="0098160C"/>
    <w:rsid w:val="009878FD"/>
    <w:rsid w:val="009B4425"/>
    <w:rsid w:val="009F1464"/>
    <w:rsid w:val="009F56D3"/>
    <w:rsid w:val="009F79FD"/>
    <w:rsid w:val="00A0132C"/>
    <w:rsid w:val="00A021BE"/>
    <w:rsid w:val="00A0421B"/>
    <w:rsid w:val="00A050C2"/>
    <w:rsid w:val="00A14CB6"/>
    <w:rsid w:val="00A16EB9"/>
    <w:rsid w:val="00A21082"/>
    <w:rsid w:val="00A30DC8"/>
    <w:rsid w:val="00A41A5F"/>
    <w:rsid w:val="00A42E39"/>
    <w:rsid w:val="00A6055D"/>
    <w:rsid w:val="00A755C6"/>
    <w:rsid w:val="00A8153F"/>
    <w:rsid w:val="00AA063E"/>
    <w:rsid w:val="00AA3A8A"/>
    <w:rsid w:val="00AB2322"/>
    <w:rsid w:val="00AB4432"/>
    <w:rsid w:val="00AC7310"/>
    <w:rsid w:val="00AD0D99"/>
    <w:rsid w:val="00AD2F81"/>
    <w:rsid w:val="00AE0BBC"/>
    <w:rsid w:val="00AE13B6"/>
    <w:rsid w:val="00AE529C"/>
    <w:rsid w:val="00AE599B"/>
    <w:rsid w:val="00AE5BC8"/>
    <w:rsid w:val="00AE5FDC"/>
    <w:rsid w:val="00AE5FFF"/>
    <w:rsid w:val="00AF2576"/>
    <w:rsid w:val="00AF51CB"/>
    <w:rsid w:val="00B1074B"/>
    <w:rsid w:val="00B10FA8"/>
    <w:rsid w:val="00B114C2"/>
    <w:rsid w:val="00B12D82"/>
    <w:rsid w:val="00B34416"/>
    <w:rsid w:val="00B36C96"/>
    <w:rsid w:val="00B52198"/>
    <w:rsid w:val="00B52240"/>
    <w:rsid w:val="00B6577C"/>
    <w:rsid w:val="00B7051D"/>
    <w:rsid w:val="00BA17D6"/>
    <w:rsid w:val="00BB0835"/>
    <w:rsid w:val="00BC2755"/>
    <w:rsid w:val="00BC2F84"/>
    <w:rsid w:val="00BE32E8"/>
    <w:rsid w:val="00BE4A10"/>
    <w:rsid w:val="00BE50BB"/>
    <w:rsid w:val="00BF308A"/>
    <w:rsid w:val="00BF5F87"/>
    <w:rsid w:val="00C00F33"/>
    <w:rsid w:val="00C12DAB"/>
    <w:rsid w:val="00C25EF7"/>
    <w:rsid w:val="00C32099"/>
    <w:rsid w:val="00C35A15"/>
    <w:rsid w:val="00C57E31"/>
    <w:rsid w:val="00C73C50"/>
    <w:rsid w:val="00C74ED8"/>
    <w:rsid w:val="00C75840"/>
    <w:rsid w:val="00C76EE6"/>
    <w:rsid w:val="00C83547"/>
    <w:rsid w:val="00C9077D"/>
    <w:rsid w:val="00C95A6B"/>
    <w:rsid w:val="00C971CE"/>
    <w:rsid w:val="00CA6B59"/>
    <w:rsid w:val="00CA77B3"/>
    <w:rsid w:val="00CB0F01"/>
    <w:rsid w:val="00CB6477"/>
    <w:rsid w:val="00CB721C"/>
    <w:rsid w:val="00CC3AF8"/>
    <w:rsid w:val="00CD2829"/>
    <w:rsid w:val="00CD39C0"/>
    <w:rsid w:val="00CD51EE"/>
    <w:rsid w:val="00CE5126"/>
    <w:rsid w:val="00CF5D94"/>
    <w:rsid w:val="00CF68D1"/>
    <w:rsid w:val="00D12D4D"/>
    <w:rsid w:val="00D14B07"/>
    <w:rsid w:val="00D206FC"/>
    <w:rsid w:val="00D23CE4"/>
    <w:rsid w:val="00D2405D"/>
    <w:rsid w:val="00D2747F"/>
    <w:rsid w:val="00D617CA"/>
    <w:rsid w:val="00D640A3"/>
    <w:rsid w:val="00D658D6"/>
    <w:rsid w:val="00D8414F"/>
    <w:rsid w:val="00D8452E"/>
    <w:rsid w:val="00D84F67"/>
    <w:rsid w:val="00DA0F28"/>
    <w:rsid w:val="00DA6E58"/>
    <w:rsid w:val="00DB0A5B"/>
    <w:rsid w:val="00DD5441"/>
    <w:rsid w:val="00DE499C"/>
    <w:rsid w:val="00DE68DB"/>
    <w:rsid w:val="00DF139A"/>
    <w:rsid w:val="00E12DCF"/>
    <w:rsid w:val="00E22747"/>
    <w:rsid w:val="00E47973"/>
    <w:rsid w:val="00E523EE"/>
    <w:rsid w:val="00E55CB1"/>
    <w:rsid w:val="00E66E5B"/>
    <w:rsid w:val="00E75091"/>
    <w:rsid w:val="00E762D4"/>
    <w:rsid w:val="00E77BF7"/>
    <w:rsid w:val="00E81BCF"/>
    <w:rsid w:val="00E84C17"/>
    <w:rsid w:val="00E85DD9"/>
    <w:rsid w:val="00E8742A"/>
    <w:rsid w:val="00E95540"/>
    <w:rsid w:val="00E95843"/>
    <w:rsid w:val="00E96E16"/>
    <w:rsid w:val="00E97BAD"/>
    <w:rsid w:val="00EA316C"/>
    <w:rsid w:val="00EC430A"/>
    <w:rsid w:val="00ED5057"/>
    <w:rsid w:val="00EF40C3"/>
    <w:rsid w:val="00F0089A"/>
    <w:rsid w:val="00F0183B"/>
    <w:rsid w:val="00F1388A"/>
    <w:rsid w:val="00F14EA3"/>
    <w:rsid w:val="00F208B8"/>
    <w:rsid w:val="00F23AFA"/>
    <w:rsid w:val="00F3091E"/>
    <w:rsid w:val="00F410BC"/>
    <w:rsid w:val="00F418F2"/>
    <w:rsid w:val="00F525E7"/>
    <w:rsid w:val="00F53B50"/>
    <w:rsid w:val="00F56DEC"/>
    <w:rsid w:val="00F643A3"/>
    <w:rsid w:val="00F64845"/>
    <w:rsid w:val="00F662F7"/>
    <w:rsid w:val="00F6756E"/>
    <w:rsid w:val="00F81B7B"/>
    <w:rsid w:val="00F944B8"/>
    <w:rsid w:val="00F95E4D"/>
    <w:rsid w:val="00FA3D87"/>
    <w:rsid w:val="00FA5889"/>
    <w:rsid w:val="00FA6BCF"/>
    <w:rsid w:val="00FB52CC"/>
    <w:rsid w:val="00FB7DB4"/>
    <w:rsid w:val="00FC09A4"/>
    <w:rsid w:val="00FC2523"/>
    <w:rsid w:val="00FC67BE"/>
    <w:rsid w:val="00FE153B"/>
    <w:rsid w:val="00FE40D7"/>
    <w:rsid w:val="00FE7BF5"/>
    <w:rsid w:val="00FF3153"/>
    <w:rsid w:val="00FF48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68E05"/>
  <w15:chartTrackingRefBased/>
  <w15:docId w15:val="{723EBCE0-305A-4D24-B9CF-7DD60959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15"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B78"/>
    <w:pPr>
      <w:spacing w:line="276" w:lineRule="auto"/>
    </w:pPr>
    <w:rPr>
      <w:rFonts w:ascii="Aileron" w:hAnsi="Aileron"/>
      <w:szCs w:val="24"/>
      <w:lang w:eastAsia="en-US"/>
    </w:rPr>
  </w:style>
  <w:style w:type="paragraph" w:styleId="Kop1">
    <w:name w:val="heading 1"/>
    <w:aliases w:val="Subheading"/>
    <w:basedOn w:val="Titel"/>
    <w:next w:val="Standaard"/>
    <w:link w:val="Kop1Char"/>
    <w:autoRedefine/>
    <w:uiPriority w:val="4"/>
    <w:qFormat/>
    <w:rsid w:val="00921FD1"/>
    <w:pPr>
      <w:keepNext/>
    </w:pPr>
    <w:rPr>
      <w:bCs w:val="0"/>
      <w:kern w:val="32"/>
      <w:sz w:val="20"/>
      <w:lang w:val="en-GB"/>
    </w:rPr>
  </w:style>
  <w:style w:type="paragraph" w:styleId="Kop2">
    <w:name w:val="heading 2"/>
    <w:basedOn w:val="Standaard"/>
    <w:next w:val="Standaard"/>
    <w:link w:val="Kop2Char"/>
    <w:autoRedefine/>
    <w:uiPriority w:val="5"/>
    <w:qFormat/>
    <w:rsid w:val="003F183D"/>
    <w:pPr>
      <w:keepNext/>
      <w:keepLines/>
      <w:tabs>
        <w:tab w:val="left" w:pos="708"/>
      </w:tabs>
      <w:suppressAutoHyphens/>
      <w:spacing w:before="200"/>
      <w:outlineLvl w:val="1"/>
    </w:pPr>
    <w:rPr>
      <w:rFonts w:ascii="Aileron Bold" w:eastAsia="Arial" w:hAnsi="Aileron Bold" w:cs="Mangal"/>
      <w:b/>
      <w:bCs/>
      <w:szCs w:val="23"/>
      <w:lang w:val="en-GB" w:eastAsia="zh-CN" w:bidi="hi-IN"/>
    </w:rPr>
  </w:style>
  <w:style w:type="paragraph" w:styleId="Kop3">
    <w:name w:val="heading 3"/>
    <w:basedOn w:val="Standaard"/>
    <w:next w:val="Standaard"/>
    <w:link w:val="Kop3Char"/>
    <w:uiPriority w:val="15"/>
    <w:rsid w:val="007A0B78"/>
    <w:pPr>
      <w:keepNext/>
      <w:keepLines/>
      <w:spacing w:before="200"/>
      <w:outlineLvl w:val="2"/>
    </w:pPr>
    <w:rPr>
      <w:rFonts w:eastAsia="Arial" w:cs="Arial"/>
      <w:b/>
      <w:bCs/>
      <w:lang w:eastAsia="nl-NL"/>
    </w:rPr>
  </w:style>
  <w:style w:type="paragraph" w:styleId="Kop4">
    <w:name w:val="heading 4"/>
    <w:basedOn w:val="Standaard"/>
    <w:next w:val="Standaard"/>
    <w:link w:val="Kop4Char"/>
    <w:uiPriority w:val="9"/>
    <w:semiHidden/>
    <w:unhideWhenUsed/>
    <w:rsid w:val="007A0B78"/>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semiHidden/>
    <w:unhideWhenUsed/>
    <w:qFormat/>
    <w:rsid w:val="00077A22"/>
    <w:pPr>
      <w:keepNext/>
      <w:keepLines/>
      <w:spacing w:before="200"/>
      <w:outlineLvl w:val="4"/>
    </w:pPr>
    <w:rPr>
      <w:rFonts w:ascii="Cambria" w:eastAsia="Arial" w:hAnsi="Cambria" w:cs="Arial"/>
      <w:color w:val="243F60"/>
      <w:lang w:eastAsia="nl-NL"/>
    </w:rPr>
  </w:style>
  <w:style w:type="paragraph" w:styleId="Kop6">
    <w:name w:val="heading 6"/>
    <w:basedOn w:val="Standaard"/>
    <w:next w:val="Standaard"/>
    <w:link w:val="Kop6Char"/>
    <w:semiHidden/>
    <w:unhideWhenUsed/>
    <w:qFormat/>
    <w:rsid w:val="00077A22"/>
    <w:pPr>
      <w:keepNext/>
      <w:keepLines/>
      <w:spacing w:before="200"/>
      <w:outlineLvl w:val="5"/>
    </w:pPr>
    <w:rPr>
      <w:rFonts w:ascii="Cambria" w:eastAsia="Arial" w:hAnsi="Cambria" w:cs="Arial"/>
      <w:i/>
      <w:iCs/>
      <w:color w:val="243F60"/>
      <w:lang w:eastAsia="nl-NL"/>
    </w:rPr>
  </w:style>
  <w:style w:type="paragraph" w:styleId="Kop7">
    <w:name w:val="heading 7"/>
    <w:basedOn w:val="Standaard"/>
    <w:next w:val="Standaard"/>
    <w:link w:val="Kop7Char"/>
    <w:semiHidden/>
    <w:unhideWhenUsed/>
    <w:qFormat/>
    <w:rsid w:val="00077A22"/>
    <w:pPr>
      <w:keepNext/>
      <w:keepLines/>
      <w:spacing w:before="200"/>
      <w:outlineLvl w:val="6"/>
    </w:pPr>
    <w:rPr>
      <w:rFonts w:ascii="Cambria" w:eastAsia="Arial" w:hAnsi="Cambria" w:cs="Arial"/>
      <w:i/>
      <w:iCs/>
      <w:color w:val="404040"/>
      <w:lang w:eastAsia="nl-NL"/>
    </w:rPr>
  </w:style>
  <w:style w:type="paragraph" w:styleId="Kop8">
    <w:name w:val="heading 8"/>
    <w:basedOn w:val="Standaard"/>
    <w:next w:val="Standaard"/>
    <w:link w:val="Kop8Char"/>
    <w:semiHidden/>
    <w:unhideWhenUsed/>
    <w:qFormat/>
    <w:rsid w:val="00077A22"/>
    <w:pPr>
      <w:keepNext/>
      <w:keepLines/>
      <w:spacing w:before="200"/>
      <w:outlineLvl w:val="7"/>
    </w:pPr>
    <w:rPr>
      <w:rFonts w:ascii="Cambria" w:eastAsia="Arial" w:hAnsi="Cambria" w:cs="Arial"/>
      <w:color w:val="404040"/>
      <w:szCs w:val="20"/>
      <w:lang w:eastAsia="nl-NL"/>
    </w:rPr>
  </w:style>
  <w:style w:type="paragraph" w:styleId="Kop9">
    <w:name w:val="heading 9"/>
    <w:basedOn w:val="Standaard"/>
    <w:next w:val="Standaard"/>
    <w:link w:val="Kop9Char"/>
    <w:semiHidden/>
    <w:unhideWhenUsed/>
    <w:qFormat/>
    <w:rsid w:val="00077A22"/>
    <w:pPr>
      <w:keepNext/>
      <w:keepLines/>
      <w:spacing w:before="200"/>
      <w:outlineLvl w:val="8"/>
    </w:pPr>
    <w:rPr>
      <w:rFonts w:ascii="Cambria" w:eastAsia="Arial" w:hAnsi="Cambria" w:cs="Arial"/>
      <w:i/>
      <w:iCs/>
      <w:color w:val="40404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0B7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A0B78"/>
    <w:rPr>
      <w:rFonts w:ascii="Aileron" w:hAnsi="Aileron"/>
      <w:szCs w:val="24"/>
      <w:lang w:eastAsia="en-US"/>
    </w:rPr>
  </w:style>
  <w:style w:type="paragraph" w:styleId="Voettekst">
    <w:name w:val="footer"/>
    <w:basedOn w:val="Standaard"/>
    <w:link w:val="VoettekstChar"/>
    <w:autoRedefine/>
    <w:uiPriority w:val="99"/>
    <w:unhideWhenUsed/>
    <w:qFormat/>
    <w:rsid w:val="007A0B78"/>
    <w:pPr>
      <w:tabs>
        <w:tab w:val="center" w:pos="4513"/>
        <w:tab w:val="right" w:pos="9026"/>
      </w:tabs>
      <w:spacing w:line="240" w:lineRule="auto"/>
    </w:pPr>
    <w:rPr>
      <w:rFonts w:ascii="Aileron Light" w:hAnsi="Aileron Light"/>
      <w:caps/>
      <w:color w:val="003F79"/>
      <w:sz w:val="16"/>
    </w:rPr>
  </w:style>
  <w:style w:type="character" w:customStyle="1" w:styleId="VoettekstChar">
    <w:name w:val="Voettekst Char"/>
    <w:basedOn w:val="Standaardalinea-lettertype"/>
    <w:link w:val="Voettekst"/>
    <w:uiPriority w:val="99"/>
    <w:rsid w:val="007A0B78"/>
    <w:rPr>
      <w:rFonts w:ascii="Aileron Light" w:hAnsi="Aileron Light"/>
      <w:caps/>
      <w:color w:val="003F79"/>
      <w:sz w:val="16"/>
      <w:szCs w:val="24"/>
      <w:lang w:eastAsia="en-US"/>
    </w:rPr>
  </w:style>
  <w:style w:type="paragraph" w:styleId="Ballontekst">
    <w:name w:val="Balloon Text"/>
    <w:basedOn w:val="Standaard"/>
    <w:link w:val="BallontekstChar"/>
    <w:uiPriority w:val="99"/>
    <w:semiHidden/>
    <w:unhideWhenUsed/>
    <w:rsid w:val="00077A2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77A22"/>
    <w:rPr>
      <w:rFonts w:ascii="Tahoma" w:hAnsi="Tahoma" w:cs="Tahoma"/>
      <w:sz w:val="16"/>
      <w:szCs w:val="16"/>
      <w:lang w:eastAsia="en-US"/>
    </w:rPr>
  </w:style>
  <w:style w:type="character" w:styleId="Hyperlink">
    <w:name w:val="Hyperlink"/>
    <w:uiPriority w:val="99"/>
    <w:unhideWhenUsed/>
    <w:rsid w:val="007A0B78"/>
    <w:rPr>
      <w:strike w:val="0"/>
      <w:dstrike w:val="0"/>
      <w:color w:val="0000FF"/>
      <w:u w:val="none"/>
      <w:effect w:val="none"/>
    </w:rPr>
  </w:style>
  <w:style w:type="table" w:styleId="Tabelraster">
    <w:name w:val="Table Grid"/>
    <w:basedOn w:val="Standaardtabel"/>
    <w:uiPriority w:val="39"/>
    <w:rsid w:val="007A0B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IUCNNL">
    <w:name w:val="Document name IUCN NL"/>
    <w:basedOn w:val="Standaard"/>
    <w:link w:val="DocumentnameIUCNNLChar"/>
    <w:uiPriority w:val="7"/>
    <w:rsid w:val="007A0B78"/>
    <w:pPr>
      <w:jc w:val="right"/>
    </w:pPr>
    <w:rPr>
      <w:b/>
      <w:smallCaps/>
      <w:sz w:val="24"/>
    </w:rPr>
  </w:style>
  <w:style w:type="character" w:customStyle="1" w:styleId="DocumentnameIUCNNLChar">
    <w:name w:val="Document name IUCN NL Char"/>
    <w:link w:val="DocumentnameIUCNNL"/>
    <w:uiPriority w:val="7"/>
    <w:rsid w:val="007A0B78"/>
    <w:rPr>
      <w:rFonts w:ascii="Aileron" w:hAnsi="Aileron"/>
      <w:b/>
      <w:smallCaps/>
      <w:sz w:val="24"/>
      <w:szCs w:val="24"/>
      <w:lang w:eastAsia="en-US"/>
    </w:rPr>
  </w:style>
  <w:style w:type="paragraph" w:customStyle="1" w:styleId="BulletlistIUCNNL">
    <w:name w:val="Bulletlist IUCN NL"/>
    <w:basedOn w:val="Lijstalinea"/>
    <w:link w:val="BulletlistIUCNNLChar"/>
    <w:uiPriority w:val="6"/>
    <w:qFormat/>
    <w:rsid w:val="007A0B78"/>
    <w:pPr>
      <w:numPr>
        <w:numId w:val="1"/>
      </w:numPr>
    </w:pPr>
    <w:rPr>
      <w:rFonts w:eastAsia="Arial" w:cs="Arial"/>
      <w:lang w:eastAsia="nl-NL"/>
    </w:rPr>
  </w:style>
  <w:style w:type="character" w:customStyle="1" w:styleId="BulletlistIUCNNLChar">
    <w:name w:val="Bulletlist IUCN NL Char"/>
    <w:link w:val="BulletlistIUCNNL"/>
    <w:uiPriority w:val="6"/>
    <w:rsid w:val="007A0B78"/>
    <w:rPr>
      <w:rFonts w:ascii="Aileron" w:eastAsia="Arial" w:hAnsi="Aileron" w:cs="Arial"/>
      <w:szCs w:val="24"/>
    </w:rPr>
  </w:style>
  <w:style w:type="paragraph" w:styleId="Lijstalinea">
    <w:name w:val="List Paragraph"/>
    <w:aliases w:val="List Paragraph (numbered (a)),Paragraph,List Paragraph1,References,ReferencesCxSpLast,body bullets,Bullets,Numbered List Paragraph,Paragraphe  revu,Liste 1,List Bullet Mary,Figures"/>
    <w:basedOn w:val="Standaard"/>
    <w:link w:val="LijstalineaChar"/>
    <w:uiPriority w:val="34"/>
    <w:qFormat/>
    <w:rsid w:val="007A0B78"/>
    <w:pPr>
      <w:ind w:left="720"/>
      <w:contextualSpacing/>
    </w:pPr>
  </w:style>
  <w:style w:type="character" w:customStyle="1" w:styleId="Kop1Char">
    <w:name w:val="Kop 1 Char"/>
    <w:aliases w:val="Subheading Char"/>
    <w:link w:val="Kop1"/>
    <w:uiPriority w:val="4"/>
    <w:rsid w:val="00921FD1"/>
    <w:rPr>
      <w:rFonts w:ascii="Aileron Bold" w:eastAsia="Arial" w:hAnsi="Aileron Bold" w:cs="Arial"/>
      <w:b/>
      <w:caps/>
      <w:color w:val="003F79"/>
      <w:kern w:val="32"/>
      <w:szCs w:val="32"/>
      <w:lang w:val="en-GB"/>
    </w:rPr>
  </w:style>
  <w:style w:type="character" w:customStyle="1" w:styleId="Kop2Char">
    <w:name w:val="Kop 2 Char"/>
    <w:link w:val="Kop2"/>
    <w:uiPriority w:val="5"/>
    <w:rsid w:val="003F183D"/>
    <w:rPr>
      <w:rFonts w:ascii="Aileron Bold" w:eastAsia="Arial" w:hAnsi="Aileron Bold" w:cs="Mangal"/>
      <w:b/>
      <w:bCs/>
      <w:szCs w:val="23"/>
      <w:lang w:val="en-GB" w:eastAsia="zh-CN" w:bidi="hi-IN"/>
    </w:rPr>
  </w:style>
  <w:style w:type="character" w:customStyle="1" w:styleId="Kop3Char">
    <w:name w:val="Kop 3 Char"/>
    <w:link w:val="Kop3"/>
    <w:uiPriority w:val="15"/>
    <w:rsid w:val="007A0B78"/>
    <w:rPr>
      <w:rFonts w:ascii="Aileron" w:eastAsia="Arial" w:hAnsi="Aileron" w:cs="Arial"/>
      <w:b/>
      <w:bCs/>
      <w:szCs w:val="24"/>
    </w:rPr>
  </w:style>
  <w:style w:type="character" w:customStyle="1" w:styleId="Kop4Char">
    <w:name w:val="Kop 4 Char"/>
    <w:basedOn w:val="Standaardalinea-lettertype"/>
    <w:link w:val="Kop4"/>
    <w:uiPriority w:val="9"/>
    <w:semiHidden/>
    <w:rsid w:val="007A0B78"/>
    <w:rPr>
      <w:rFonts w:asciiTheme="majorHAnsi" w:eastAsiaTheme="majorEastAsia" w:hAnsiTheme="majorHAnsi" w:cstheme="majorBidi"/>
      <w:b/>
      <w:bCs/>
      <w:i/>
      <w:iCs/>
      <w:szCs w:val="24"/>
      <w:lang w:eastAsia="en-US"/>
    </w:rPr>
  </w:style>
  <w:style w:type="character" w:customStyle="1" w:styleId="Kop5Char">
    <w:name w:val="Kop 5 Char"/>
    <w:link w:val="Kop5"/>
    <w:semiHidden/>
    <w:rsid w:val="00077A22"/>
    <w:rPr>
      <w:rFonts w:ascii="Cambria" w:eastAsia="Arial" w:hAnsi="Cambria" w:cs="Arial"/>
      <w:color w:val="243F60"/>
      <w:szCs w:val="24"/>
    </w:rPr>
  </w:style>
  <w:style w:type="character" w:customStyle="1" w:styleId="Kop6Char">
    <w:name w:val="Kop 6 Char"/>
    <w:link w:val="Kop6"/>
    <w:semiHidden/>
    <w:rsid w:val="00077A22"/>
    <w:rPr>
      <w:rFonts w:ascii="Cambria" w:eastAsia="Arial" w:hAnsi="Cambria" w:cs="Arial"/>
      <w:i/>
      <w:iCs/>
      <w:color w:val="243F60"/>
      <w:szCs w:val="24"/>
    </w:rPr>
  </w:style>
  <w:style w:type="character" w:customStyle="1" w:styleId="Kop7Char">
    <w:name w:val="Kop 7 Char"/>
    <w:link w:val="Kop7"/>
    <w:semiHidden/>
    <w:rsid w:val="00077A22"/>
    <w:rPr>
      <w:rFonts w:ascii="Cambria" w:eastAsia="Arial" w:hAnsi="Cambria" w:cs="Arial"/>
      <w:i/>
      <w:iCs/>
      <w:color w:val="404040"/>
      <w:szCs w:val="24"/>
    </w:rPr>
  </w:style>
  <w:style w:type="character" w:customStyle="1" w:styleId="Kop8Char">
    <w:name w:val="Kop 8 Char"/>
    <w:link w:val="Kop8"/>
    <w:semiHidden/>
    <w:rsid w:val="00077A22"/>
    <w:rPr>
      <w:rFonts w:ascii="Cambria" w:eastAsia="Arial" w:hAnsi="Cambria" w:cs="Arial"/>
      <w:color w:val="404040"/>
    </w:rPr>
  </w:style>
  <w:style w:type="character" w:customStyle="1" w:styleId="Kop9Char">
    <w:name w:val="Kop 9 Char"/>
    <w:link w:val="Kop9"/>
    <w:semiHidden/>
    <w:rsid w:val="00077A22"/>
    <w:rPr>
      <w:rFonts w:ascii="Cambria" w:eastAsia="Arial" w:hAnsi="Cambria" w:cs="Arial"/>
      <w:i/>
      <w:iCs/>
      <w:color w:val="404040"/>
    </w:rPr>
  </w:style>
  <w:style w:type="paragraph" w:styleId="Bijschrift">
    <w:name w:val="caption"/>
    <w:basedOn w:val="Standaard"/>
    <w:next w:val="Standaard"/>
    <w:autoRedefine/>
    <w:uiPriority w:val="35"/>
    <w:unhideWhenUsed/>
    <w:qFormat/>
    <w:rsid w:val="001769B7"/>
    <w:pPr>
      <w:spacing w:after="200"/>
    </w:pPr>
    <w:rPr>
      <w:bCs/>
      <w:sz w:val="18"/>
      <w:szCs w:val="18"/>
      <w:lang w:val="en-GB"/>
    </w:rPr>
  </w:style>
  <w:style w:type="paragraph" w:styleId="Titel">
    <w:name w:val="Title"/>
    <w:basedOn w:val="Standaard"/>
    <w:next w:val="Standaard"/>
    <w:link w:val="TitelChar"/>
    <w:uiPriority w:val="3"/>
    <w:qFormat/>
    <w:rsid w:val="007A0B78"/>
    <w:pPr>
      <w:spacing w:before="240" w:after="60"/>
      <w:outlineLvl w:val="0"/>
    </w:pPr>
    <w:rPr>
      <w:rFonts w:ascii="Aileron Bold" w:eastAsia="Arial" w:hAnsi="Aileron Bold" w:cs="Arial"/>
      <w:b/>
      <w:bCs/>
      <w:caps/>
      <w:color w:val="003F79"/>
      <w:kern w:val="28"/>
      <w:sz w:val="64"/>
      <w:szCs w:val="32"/>
      <w:lang w:eastAsia="nl-NL"/>
    </w:rPr>
  </w:style>
  <w:style w:type="character" w:customStyle="1" w:styleId="TitelChar">
    <w:name w:val="Titel Char"/>
    <w:link w:val="Titel"/>
    <w:uiPriority w:val="3"/>
    <w:rsid w:val="007A0B78"/>
    <w:rPr>
      <w:rFonts w:ascii="Aileron Bold" w:eastAsia="Arial" w:hAnsi="Aileron Bold" w:cs="Arial"/>
      <w:b/>
      <w:bCs/>
      <w:caps/>
      <w:color w:val="003F79"/>
      <w:kern w:val="28"/>
      <w:sz w:val="64"/>
      <w:szCs w:val="32"/>
    </w:rPr>
  </w:style>
  <w:style w:type="paragraph" w:styleId="Ondertitel">
    <w:name w:val="Subtitle"/>
    <w:basedOn w:val="Standaard"/>
    <w:next w:val="Standaard"/>
    <w:link w:val="OndertitelChar"/>
    <w:uiPriority w:val="11"/>
    <w:rsid w:val="007A0B78"/>
    <w:pPr>
      <w:spacing w:after="60"/>
      <w:jc w:val="center"/>
      <w:outlineLvl w:val="1"/>
    </w:pPr>
    <w:rPr>
      <w:rFonts w:eastAsia="Arial" w:cs="Arial"/>
      <w:color w:val="7F7F7F"/>
      <w:sz w:val="40"/>
      <w:lang w:eastAsia="nl-NL"/>
    </w:rPr>
  </w:style>
  <w:style w:type="character" w:customStyle="1" w:styleId="OndertitelChar">
    <w:name w:val="Ondertitel Char"/>
    <w:link w:val="Ondertitel"/>
    <w:uiPriority w:val="11"/>
    <w:rsid w:val="007A0B78"/>
    <w:rPr>
      <w:rFonts w:ascii="Aileron" w:eastAsia="Arial" w:hAnsi="Aileron" w:cs="Arial"/>
      <w:color w:val="7F7F7F"/>
      <w:sz w:val="40"/>
      <w:szCs w:val="24"/>
    </w:rPr>
  </w:style>
  <w:style w:type="paragraph" w:styleId="Citaat">
    <w:name w:val="Quote"/>
    <w:basedOn w:val="Standaard"/>
    <w:next w:val="Standaard"/>
    <w:link w:val="CitaatChar"/>
    <w:autoRedefine/>
    <w:uiPriority w:val="8"/>
    <w:qFormat/>
    <w:rsid w:val="007A0B78"/>
    <w:pPr>
      <w:spacing w:before="100" w:beforeAutospacing="1" w:after="100" w:afterAutospacing="1" w:line="240" w:lineRule="auto"/>
      <w:ind w:left="284"/>
      <w:mirrorIndents/>
    </w:pPr>
    <w:rPr>
      <w:rFonts w:ascii="Aileron Light" w:eastAsia="Arial" w:hAnsi="Aileron Light" w:cs="Arial"/>
      <w:iCs/>
      <w:color w:val="000000" w:themeColor="text1"/>
      <w:sz w:val="22"/>
      <w:lang w:eastAsia="nl-NL"/>
    </w:rPr>
  </w:style>
  <w:style w:type="character" w:customStyle="1" w:styleId="CitaatChar">
    <w:name w:val="Citaat Char"/>
    <w:link w:val="Citaat"/>
    <w:uiPriority w:val="8"/>
    <w:rsid w:val="007A0B78"/>
    <w:rPr>
      <w:rFonts w:ascii="Aileron Light" w:eastAsia="Arial" w:hAnsi="Aileron Light" w:cs="Arial"/>
      <w:iCs/>
      <w:color w:val="000000" w:themeColor="text1"/>
      <w:sz w:val="22"/>
      <w:szCs w:val="24"/>
    </w:rPr>
  </w:style>
  <w:style w:type="paragraph" w:styleId="Kopvaninhoudsopgave">
    <w:name w:val="TOC Heading"/>
    <w:basedOn w:val="Kop1"/>
    <w:next w:val="Standaard"/>
    <w:uiPriority w:val="39"/>
    <w:semiHidden/>
    <w:unhideWhenUsed/>
    <w:qFormat/>
    <w:rsid w:val="00077A22"/>
    <w:pPr>
      <w:keepLines/>
      <w:spacing w:before="480" w:after="0"/>
      <w:outlineLvl w:val="9"/>
    </w:pPr>
    <w:rPr>
      <w:rFonts w:ascii="Cambria" w:hAnsi="Cambria"/>
      <w:b w:val="0"/>
      <w:color w:val="365F91"/>
      <w:kern w:val="0"/>
      <w:sz w:val="28"/>
      <w:szCs w:val="28"/>
      <w:lang w:eastAsia="en-US"/>
    </w:rPr>
  </w:style>
  <w:style w:type="character" w:styleId="Zwaar">
    <w:name w:val="Strong"/>
    <w:uiPriority w:val="22"/>
    <w:qFormat/>
    <w:rsid w:val="007A0B78"/>
    <w:rPr>
      <w:b/>
      <w:bCs/>
    </w:rPr>
  </w:style>
  <w:style w:type="character" w:styleId="Nadruk">
    <w:name w:val="Emphasis"/>
    <w:uiPriority w:val="20"/>
    <w:rsid w:val="007A0B78"/>
    <w:rPr>
      <w:b/>
      <w:bCs/>
      <w:i/>
      <w:iCs/>
      <w:spacing w:val="10"/>
      <w:bdr w:val="none" w:sz="0" w:space="0" w:color="auto"/>
      <w:shd w:val="clear" w:color="auto" w:fill="auto"/>
    </w:rPr>
  </w:style>
  <w:style w:type="paragraph" w:styleId="Geenafstand">
    <w:name w:val="No Spacing"/>
    <w:aliases w:val="Heading 31"/>
    <w:basedOn w:val="Standaard"/>
    <w:link w:val="GeenafstandChar"/>
    <w:uiPriority w:val="1"/>
    <w:qFormat/>
    <w:rsid w:val="007A0B78"/>
    <w:pPr>
      <w:spacing w:line="240" w:lineRule="auto"/>
    </w:pPr>
  </w:style>
  <w:style w:type="paragraph" w:styleId="Duidelijkcitaat">
    <w:name w:val="Intense Quote"/>
    <w:basedOn w:val="Standaard"/>
    <w:next w:val="Standaard"/>
    <w:link w:val="DuidelijkcitaatChar"/>
    <w:uiPriority w:val="30"/>
    <w:rsid w:val="007A0B78"/>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A0B78"/>
    <w:rPr>
      <w:rFonts w:ascii="Aileron" w:hAnsi="Aileron"/>
      <w:b/>
      <w:bCs/>
      <w:i/>
      <w:iCs/>
      <w:szCs w:val="24"/>
      <w:lang w:eastAsia="en-US"/>
    </w:rPr>
  </w:style>
  <w:style w:type="character" w:styleId="Subtielebenadrukking">
    <w:name w:val="Subtle Emphasis"/>
    <w:uiPriority w:val="19"/>
    <w:rsid w:val="007A0B78"/>
    <w:rPr>
      <w:i/>
      <w:iCs/>
    </w:rPr>
  </w:style>
  <w:style w:type="character" w:styleId="Intensievebenadrukking">
    <w:name w:val="Intense Emphasis"/>
    <w:uiPriority w:val="21"/>
    <w:rsid w:val="007A0B78"/>
    <w:rPr>
      <w:b/>
      <w:bCs/>
    </w:rPr>
  </w:style>
  <w:style w:type="character" w:styleId="Subtieleverwijzing">
    <w:name w:val="Subtle Reference"/>
    <w:uiPriority w:val="31"/>
    <w:rsid w:val="007A0B78"/>
    <w:rPr>
      <w:smallCaps/>
    </w:rPr>
  </w:style>
  <w:style w:type="character" w:styleId="Intensieveverwijzing">
    <w:name w:val="Intense Reference"/>
    <w:uiPriority w:val="32"/>
    <w:rsid w:val="007A0B78"/>
    <w:rPr>
      <w:smallCaps/>
      <w:spacing w:val="5"/>
      <w:u w:val="single"/>
    </w:rPr>
  </w:style>
  <w:style w:type="character" w:styleId="Titelvanboek">
    <w:name w:val="Book Title"/>
    <w:uiPriority w:val="33"/>
    <w:rsid w:val="007A0B78"/>
    <w:rPr>
      <w:i/>
      <w:iCs/>
      <w:smallCaps/>
      <w:spacing w:val="5"/>
    </w:rPr>
  </w:style>
  <w:style w:type="paragraph" w:customStyle="1" w:styleId="Normaalvet">
    <w:name w:val="Normaal vet"/>
    <w:basedOn w:val="Standaard"/>
    <w:next w:val="Standaard"/>
    <w:autoRedefine/>
    <w:qFormat/>
    <w:rsid w:val="00077A22"/>
    <w:pPr>
      <w:ind w:right="-22"/>
    </w:pPr>
    <w:rPr>
      <w:rFonts w:ascii="Aileron SemiBold" w:hAnsi="Aileron SemiBold"/>
      <w:b/>
      <w:szCs w:val="20"/>
    </w:rPr>
  </w:style>
  <w:style w:type="paragraph" w:customStyle="1" w:styleId="Bold">
    <w:name w:val="Bold"/>
    <w:basedOn w:val="Standaard"/>
    <w:autoRedefine/>
    <w:uiPriority w:val="1"/>
    <w:qFormat/>
    <w:rsid w:val="007A0B78"/>
    <w:pPr>
      <w:ind w:right="-22"/>
    </w:pPr>
    <w:rPr>
      <w:rFonts w:ascii="Aileron Bold" w:hAnsi="Aileron Bold"/>
      <w:szCs w:val="20"/>
    </w:rPr>
  </w:style>
  <w:style w:type="paragraph" w:customStyle="1" w:styleId="TitleLight">
    <w:name w:val="Title Light"/>
    <w:basedOn w:val="Titel"/>
    <w:autoRedefine/>
    <w:uiPriority w:val="3"/>
    <w:qFormat/>
    <w:rsid w:val="006B596D"/>
    <w:pPr>
      <w:ind w:right="-22"/>
    </w:pPr>
    <w:rPr>
      <w:rFonts w:ascii="Aileron Light" w:hAnsi="Aileron Light"/>
      <w:b w:val="0"/>
      <w:color w:val="3555A6"/>
      <w:sz w:val="52"/>
      <w:szCs w:val="64"/>
    </w:rPr>
  </w:style>
  <w:style w:type="paragraph" w:customStyle="1" w:styleId="Introduction">
    <w:name w:val="Introduction"/>
    <w:basedOn w:val="Standaard"/>
    <w:next w:val="Standaard"/>
    <w:autoRedefine/>
    <w:uiPriority w:val="2"/>
    <w:qFormat/>
    <w:rsid w:val="007A0B78"/>
    <w:pPr>
      <w:ind w:right="-22"/>
    </w:pPr>
    <w:rPr>
      <w:rFonts w:ascii="Aileron Light" w:hAnsi="Aileron Light"/>
      <w:color w:val="009BCF"/>
      <w:sz w:val="26"/>
      <w:szCs w:val="26"/>
    </w:rPr>
  </w:style>
  <w:style w:type="paragraph" w:customStyle="1" w:styleId="Streamer">
    <w:name w:val="Streamer"/>
    <w:basedOn w:val="Standaard"/>
    <w:next w:val="Standaard"/>
    <w:autoRedefine/>
    <w:uiPriority w:val="9"/>
    <w:qFormat/>
    <w:rsid w:val="007A0B78"/>
    <w:rPr>
      <w:rFonts w:ascii="Aileron SemiBold" w:hAnsi="Aileron SemiBold"/>
      <w:color w:val="A6A6A6" w:themeColor="background1" w:themeShade="A6"/>
      <w:sz w:val="42"/>
      <w:lang w:val="en-US"/>
    </w:rPr>
  </w:style>
  <w:style w:type="character" w:styleId="Paginanummer">
    <w:name w:val="page number"/>
    <w:basedOn w:val="VoettekstChar"/>
    <w:uiPriority w:val="99"/>
    <w:unhideWhenUsed/>
    <w:qFormat/>
    <w:rsid w:val="007A0B78"/>
    <w:rPr>
      <w:rFonts w:ascii="Aileron Light" w:hAnsi="Aileron Light"/>
      <w:caps/>
      <w:color w:val="003F79"/>
      <w:sz w:val="16"/>
      <w:szCs w:val="24"/>
      <w:lang w:eastAsia="en-US"/>
    </w:rPr>
  </w:style>
  <w:style w:type="character" w:customStyle="1" w:styleId="GeenafstandChar">
    <w:name w:val="Geen afstand Char"/>
    <w:aliases w:val="Heading 31 Char"/>
    <w:basedOn w:val="Standaardalinea-lettertype"/>
    <w:link w:val="Geenafstand"/>
    <w:uiPriority w:val="1"/>
    <w:rsid w:val="007A0B78"/>
    <w:rPr>
      <w:rFonts w:ascii="Aileron" w:hAnsi="Aileron"/>
      <w:szCs w:val="24"/>
      <w:lang w:eastAsia="en-US"/>
    </w:rPr>
  </w:style>
  <w:style w:type="character" w:customStyle="1" w:styleId="LijstalineaChar">
    <w:name w:val="Lijstalinea Char"/>
    <w:aliases w:val="List Paragraph (numbered (a)) Char,Paragraph Char,List Paragraph1 Char,References Char,ReferencesCxSpLast Char,body bullets Char,Bullets Char,Numbered List Paragraph Char,Paragraphe  revu Char,Liste 1 Char,List Bullet Mary Char"/>
    <w:basedOn w:val="Standaardalinea-lettertype"/>
    <w:link w:val="Lijstalinea"/>
    <w:uiPriority w:val="34"/>
    <w:locked/>
    <w:rsid w:val="000F6EEA"/>
    <w:rPr>
      <w:rFonts w:ascii="Aileron" w:hAnsi="Aileron"/>
      <w:szCs w:val="24"/>
      <w:lang w:eastAsia="en-US"/>
    </w:rPr>
  </w:style>
  <w:style w:type="character" w:styleId="Verwijzingopmerking">
    <w:name w:val="annotation reference"/>
    <w:basedOn w:val="Standaardalinea-lettertype"/>
    <w:uiPriority w:val="99"/>
    <w:semiHidden/>
    <w:unhideWhenUsed/>
    <w:rsid w:val="0077491D"/>
    <w:rPr>
      <w:sz w:val="16"/>
      <w:szCs w:val="16"/>
    </w:rPr>
  </w:style>
  <w:style w:type="paragraph" w:styleId="Tekstopmerking">
    <w:name w:val="annotation text"/>
    <w:basedOn w:val="Standaard"/>
    <w:link w:val="TekstopmerkingChar"/>
    <w:uiPriority w:val="99"/>
    <w:semiHidden/>
    <w:unhideWhenUsed/>
    <w:rsid w:val="0077491D"/>
    <w:pPr>
      <w:spacing w:line="240" w:lineRule="auto"/>
    </w:pPr>
    <w:rPr>
      <w:rFonts w:ascii="Times New Roman" w:hAnsi="Times New Roman"/>
      <w:szCs w:val="20"/>
      <w:lang w:val="en-US" w:eastAsia="en-GB"/>
    </w:rPr>
  </w:style>
  <w:style w:type="character" w:customStyle="1" w:styleId="TekstopmerkingChar">
    <w:name w:val="Tekst opmerking Char"/>
    <w:basedOn w:val="Standaardalinea-lettertype"/>
    <w:link w:val="Tekstopmerking"/>
    <w:uiPriority w:val="99"/>
    <w:semiHidden/>
    <w:rsid w:val="0077491D"/>
    <w:rPr>
      <w:lang w:val="en-US" w:eastAsia="en-GB"/>
    </w:rPr>
  </w:style>
  <w:style w:type="character" w:styleId="GevolgdeHyperlink">
    <w:name w:val="FollowedHyperlink"/>
    <w:basedOn w:val="Standaardalinea-lettertype"/>
    <w:uiPriority w:val="99"/>
    <w:semiHidden/>
    <w:unhideWhenUsed/>
    <w:rsid w:val="0077491D"/>
    <w:rPr>
      <w:color w:val="0098C3" w:themeColor="followedHyperlink"/>
      <w:u w:val="single"/>
    </w:rPr>
  </w:style>
  <w:style w:type="character" w:customStyle="1" w:styleId="fontstyle01">
    <w:name w:val="fontstyle01"/>
    <w:basedOn w:val="Standaardalinea-lettertype"/>
    <w:rsid w:val="00DE499C"/>
    <w:rPr>
      <w:rFonts w:ascii="Calibri" w:hAnsi="Calibri" w:cs="Calibri" w:hint="default"/>
      <w:b w:val="0"/>
      <w:bCs w:val="0"/>
      <w:i w:val="0"/>
      <w:iCs w:val="0"/>
      <w:color w:val="000000"/>
      <w:sz w:val="22"/>
      <w:szCs w:val="22"/>
    </w:rPr>
  </w:style>
  <w:style w:type="character" w:customStyle="1" w:styleId="fontstyle21">
    <w:name w:val="fontstyle21"/>
    <w:basedOn w:val="Standaardalinea-lettertype"/>
    <w:rsid w:val="00DE499C"/>
    <w:rPr>
      <w:rFonts w:ascii="Calibri" w:hAnsi="Calibri" w:cs="Calibri" w:hint="default"/>
      <w:b w:val="0"/>
      <w:bCs w:val="0"/>
      <w:i w:val="0"/>
      <w:iCs w:val="0"/>
      <w:color w:val="000000"/>
      <w:sz w:val="22"/>
      <w:szCs w:val="22"/>
    </w:rPr>
  </w:style>
  <w:style w:type="paragraph" w:styleId="Normaalweb">
    <w:name w:val="Normal (Web)"/>
    <w:basedOn w:val="Standaard"/>
    <w:uiPriority w:val="99"/>
    <w:semiHidden/>
    <w:unhideWhenUsed/>
    <w:rsid w:val="000C37AE"/>
    <w:pPr>
      <w:spacing w:before="100" w:beforeAutospacing="1" w:after="100" w:afterAutospacing="1" w:line="240" w:lineRule="auto"/>
    </w:pPr>
    <w:rPr>
      <w:rFonts w:ascii="Times New Roman" w:hAnsi="Times New Roman"/>
      <w:sz w:val="24"/>
      <w:lang w:eastAsia="nl-NL"/>
    </w:rPr>
  </w:style>
  <w:style w:type="character" w:customStyle="1" w:styleId="fontstyle31">
    <w:name w:val="fontstyle31"/>
    <w:basedOn w:val="Standaardalinea-lettertype"/>
    <w:rsid w:val="003E38B9"/>
    <w:rPr>
      <w:rFonts w:ascii="SymbolMT" w:hAnsi="SymbolMT" w:hint="default"/>
      <w:b w:val="0"/>
      <w:bCs w:val="0"/>
      <w:i w:val="0"/>
      <w:iCs w:val="0"/>
      <w:color w:val="000000"/>
      <w:sz w:val="22"/>
      <w:szCs w:val="22"/>
    </w:rPr>
  </w:style>
  <w:style w:type="character" w:customStyle="1" w:styleId="fontstyle41">
    <w:name w:val="fontstyle41"/>
    <w:basedOn w:val="Standaardalinea-lettertype"/>
    <w:rsid w:val="003E38B9"/>
    <w:rPr>
      <w:rFonts w:ascii="Calibri-Italic" w:hAnsi="Calibri-Italic" w:hint="default"/>
      <w:b w:val="0"/>
      <w:bCs w:val="0"/>
      <w:i/>
      <w:iCs/>
      <w:color w:val="000000"/>
      <w:sz w:val="22"/>
      <w:szCs w:val="22"/>
    </w:rPr>
  </w:style>
  <w:style w:type="character" w:customStyle="1" w:styleId="fontstyle51">
    <w:name w:val="fontstyle51"/>
    <w:basedOn w:val="Standaardalinea-lettertype"/>
    <w:rsid w:val="003E38B9"/>
    <w:rPr>
      <w:rFonts w:ascii="Calibri-LightItalic" w:hAnsi="Calibri-LightItalic" w:hint="default"/>
      <w:b w:val="0"/>
      <w:bCs w:val="0"/>
      <w:i/>
      <w:iCs/>
      <w:color w:val="385623"/>
      <w:sz w:val="22"/>
      <w:szCs w:val="22"/>
    </w:rPr>
  </w:style>
  <w:style w:type="table" w:styleId="Rastertabel1licht-Accent1">
    <w:name w:val="Grid Table 1 Light Accent 1"/>
    <w:basedOn w:val="Standaardtabel"/>
    <w:uiPriority w:val="46"/>
    <w:rsid w:val="00065B86"/>
    <w:tblPr>
      <w:tblStyleRowBandSize w:val="1"/>
      <w:tblStyleColBandSize w:val="1"/>
      <w:tblBorders>
        <w:top w:val="single" w:sz="4" w:space="0" w:color="81E2FF" w:themeColor="accent1" w:themeTint="66"/>
        <w:left w:val="single" w:sz="4" w:space="0" w:color="81E2FF" w:themeColor="accent1" w:themeTint="66"/>
        <w:bottom w:val="single" w:sz="4" w:space="0" w:color="81E2FF" w:themeColor="accent1" w:themeTint="66"/>
        <w:right w:val="single" w:sz="4" w:space="0" w:color="81E2FF" w:themeColor="accent1" w:themeTint="66"/>
        <w:insideH w:val="single" w:sz="4" w:space="0" w:color="81E2FF" w:themeColor="accent1" w:themeTint="66"/>
        <w:insideV w:val="single" w:sz="4" w:space="0" w:color="81E2FF" w:themeColor="accent1" w:themeTint="66"/>
      </w:tblBorders>
    </w:tblPr>
    <w:tblStylePr w:type="firstRow">
      <w:rPr>
        <w:b/>
        <w:bCs/>
      </w:rPr>
      <w:tblPr/>
      <w:tcPr>
        <w:tcBorders>
          <w:bottom w:val="single" w:sz="12" w:space="0" w:color="42D4FF" w:themeColor="accent1" w:themeTint="99"/>
        </w:tcBorders>
      </w:tcPr>
    </w:tblStylePr>
    <w:tblStylePr w:type="lastRow">
      <w:rPr>
        <w:b/>
        <w:bCs/>
      </w:rPr>
      <w:tblPr/>
      <w:tcPr>
        <w:tcBorders>
          <w:top w:val="double" w:sz="2" w:space="0" w:color="42D4FF" w:themeColor="accent1" w:themeTint="99"/>
        </w:tcBorders>
      </w:tcPr>
    </w:tblStylePr>
    <w:tblStylePr w:type="firstCol">
      <w:rPr>
        <w:b/>
        <w:bCs/>
      </w:rPr>
    </w:tblStylePr>
    <w:tblStylePr w:type="lastCol">
      <w:rPr>
        <w:b/>
        <w:bCs/>
      </w:rPr>
    </w:tblStylePr>
  </w:style>
  <w:style w:type="table" w:styleId="Rastertabel4-Accent1">
    <w:name w:val="Grid Table 4 Accent 1"/>
    <w:basedOn w:val="Standaardtabel"/>
    <w:uiPriority w:val="49"/>
    <w:rsid w:val="0098160C"/>
    <w:tblPr>
      <w:tblStyleRowBandSize w:val="1"/>
      <w:tblStyleColBandSize w:val="1"/>
      <w:tblBorders>
        <w:top w:val="single" w:sz="4" w:space="0" w:color="42D4FF" w:themeColor="accent1" w:themeTint="99"/>
        <w:left w:val="single" w:sz="4" w:space="0" w:color="42D4FF" w:themeColor="accent1" w:themeTint="99"/>
        <w:bottom w:val="single" w:sz="4" w:space="0" w:color="42D4FF" w:themeColor="accent1" w:themeTint="99"/>
        <w:right w:val="single" w:sz="4" w:space="0" w:color="42D4FF" w:themeColor="accent1" w:themeTint="99"/>
        <w:insideH w:val="single" w:sz="4" w:space="0" w:color="42D4FF" w:themeColor="accent1" w:themeTint="99"/>
        <w:insideV w:val="single" w:sz="4" w:space="0" w:color="42D4FF" w:themeColor="accent1" w:themeTint="99"/>
      </w:tblBorders>
    </w:tblPr>
    <w:tblStylePr w:type="firstRow">
      <w:rPr>
        <w:b/>
        <w:bCs/>
        <w:color w:val="FFFFFF" w:themeColor="background1"/>
      </w:rPr>
      <w:tblPr/>
      <w:tcPr>
        <w:tcBorders>
          <w:top w:val="single" w:sz="4" w:space="0" w:color="0098C3" w:themeColor="accent1"/>
          <w:left w:val="single" w:sz="4" w:space="0" w:color="0098C3" w:themeColor="accent1"/>
          <w:bottom w:val="single" w:sz="4" w:space="0" w:color="0098C3" w:themeColor="accent1"/>
          <w:right w:val="single" w:sz="4" w:space="0" w:color="0098C3" w:themeColor="accent1"/>
          <w:insideH w:val="nil"/>
          <w:insideV w:val="nil"/>
        </w:tcBorders>
        <w:shd w:val="clear" w:color="auto" w:fill="0098C3" w:themeFill="accent1"/>
      </w:tcPr>
    </w:tblStylePr>
    <w:tblStylePr w:type="lastRow">
      <w:rPr>
        <w:b/>
        <w:bCs/>
      </w:rPr>
      <w:tblPr/>
      <w:tcPr>
        <w:tcBorders>
          <w:top w:val="double" w:sz="4" w:space="0" w:color="0098C3" w:themeColor="accent1"/>
        </w:tcBorders>
      </w:tcPr>
    </w:tblStylePr>
    <w:tblStylePr w:type="firstCol">
      <w:rPr>
        <w:b/>
        <w:bCs/>
      </w:rPr>
    </w:tblStylePr>
    <w:tblStylePr w:type="lastCol">
      <w:rPr>
        <w:b/>
        <w:bCs/>
      </w:rPr>
    </w:tblStylePr>
    <w:tblStylePr w:type="band1Vert">
      <w:tblPr/>
      <w:tcPr>
        <w:shd w:val="clear" w:color="auto" w:fill="C0F0FF" w:themeFill="accent1" w:themeFillTint="33"/>
      </w:tcPr>
    </w:tblStylePr>
    <w:tblStylePr w:type="band1Horz">
      <w:tblPr/>
      <w:tcPr>
        <w:shd w:val="clear" w:color="auto" w:fill="C0F0FF" w:themeFill="accent1" w:themeFillTint="33"/>
      </w:tcPr>
    </w:tblStylePr>
  </w:style>
  <w:style w:type="character" w:customStyle="1" w:styleId="object">
    <w:name w:val="object"/>
    <w:basedOn w:val="Standaardalinea-lettertype"/>
    <w:rsid w:val="0077614E"/>
  </w:style>
  <w:style w:type="paragraph" w:styleId="Voetnoottekst">
    <w:name w:val="footnote text"/>
    <w:basedOn w:val="Standaard"/>
    <w:link w:val="VoetnoottekstChar"/>
    <w:uiPriority w:val="99"/>
    <w:unhideWhenUsed/>
    <w:rsid w:val="00656C8D"/>
    <w:pPr>
      <w:spacing w:line="240" w:lineRule="auto"/>
    </w:pPr>
    <w:rPr>
      <w:rFonts w:ascii="Arial" w:eastAsia="Arial" w:hAnsi="Arial" w:cs="Arial"/>
      <w:szCs w:val="20"/>
      <w:lang w:val="en" w:eastAsia="en-GB"/>
    </w:rPr>
  </w:style>
  <w:style w:type="character" w:customStyle="1" w:styleId="VoetnoottekstChar">
    <w:name w:val="Voetnoottekst Char"/>
    <w:basedOn w:val="Standaardalinea-lettertype"/>
    <w:link w:val="Voetnoottekst"/>
    <w:uiPriority w:val="99"/>
    <w:rsid w:val="00656C8D"/>
    <w:rPr>
      <w:rFonts w:ascii="Arial" w:eastAsia="Arial" w:hAnsi="Arial" w:cs="Arial"/>
      <w:lang w:val="en" w:eastAsia="en-GB"/>
    </w:rPr>
  </w:style>
  <w:style w:type="character" w:styleId="Voetnootmarkering">
    <w:name w:val="footnote reference"/>
    <w:basedOn w:val="Standaardalinea-lettertype"/>
    <w:uiPriority w:val="99"/>
    <w:semiHidden/>
    <w:unhideWhenUsed/>
    <w:rsid w:val="00656C8D"/>
    <w:rPr>
      <w:vertAlign w:val="superscript"/>
    </w:rPr>
  </w:style>
  <w:style w:type="paragraph" w:customStyle="1" w:styleId="BIO009Normal">
    <w:name w:val="BIO 009 Normal"/>
    <w:uiPriority w:val="99"/>
    <w:qFormat/>
    <w:rsid w:val="00B114C2"/>
    <w:pPr>
      <w:spacing w:after="120" w:line="240" w:lineRule="exact"/>
      <w:jc w:val="both"/>
    </w:pPr>
    <w:rPr>
      <w:rFonts w:ascii="Arial Nova" w:eastAsiaTheme="minorHAnsi" w:hAnsi="Arial Nova" w:cstheme="minorBidi"/>
      <w:color w:val="808080" w:themeColor="text2"/>
      <w:szCs w:val="22"/>
      <w:lang w:val="en-GB" w:eastAsia="en-US"/>
    </w:rPr>
  </w:style>
  <w:style w:type="paragraph" w:customStyle="1" w:styleId="Tabletext">
    <w:name w:val="Table text"/>
    <w:basedOn w:val="Standaard"/>
    <w:rsid w:val="00FE40D7"/>
    <w:pPr>
      <w:suppressAutoHyphens/>
      <w:autoSpaceDN w:val="0"/>
      <w:spacing w:before="40" w:after="40" w:line="240" w:lineRule="auto"/>
      <w:textAlignment w:val="baseline"/>
    </w:pPr>
    <w:rPr>
      <w:rFonts w:ascii="Univers 45 Light" w:eastAsia="Calibri" w:hAnsi="Univers 45 Light"/>
      <w:color w:val="000000"/>
      <w:sz w:val="18"/>
      <w:szCs w:val="22"/>
      <w:lang w:val="en-GB"/>
    </w:rPr>
  </w:style>
  <w:style w:type="paragraph" w:customStyle="1" w:styleId="yiv7054835349msonormal">
    <w:name w:val="yiv7054835349msonormal"/>
    <w:basedOn w:val="Standaard"/>
    <w:rsid w:val="00BE50BB"/>
    <w:pPr>
      <w:spacing w:before="100" w:beforeAutospacing="1" w:after="100" w:afterAutospacing="1"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19068">
      <w:bodyDiv w:val="1"/>
      <w:marLeft w:val="0"/>
      <w:marRight w:val="0"/>
      <w:marTop w:val="0"/>
      <w:marBottom w:val="0"/>
      <w:divBdr>
        <w:top w:val="none" w:sz="0" w:space="0" w:color="auto"/>
        <w:left w:val="none" w:sz="0" w:space="0" w:color="auto"/>
        <w:bottom w:val="none" w:sz="0" w:space="0" w:color="auto"/>
        <w:right w:val="none" w:sz="0" w:space="0" w:color="auto"/>
      </w:divBdr>
    </w:div>
    <w:div w:id="670371816">
      <w:bodyDiv w:val="1"/>
      <w:marLeft w:val="0"/>
      <w:marRight w:val="0"/>
      <w:marTop w:val="0"/>
      <w:marBottom w:val="0"/>
      <w:divBdr>
        <w:top w:val="none" w:sz="0" w:space="0" w:color="auto"/>
        <w:left w:val="none" w:sz="0" w:space="0" w:color="auto"/>
        <w:bottom w:val="none" w:sz="0" w:space="0" w:color="auto"/>
        <w:right w:val="none" w:sz="0" w:space="0" w:color="auto"/>
      </w:divBdr>
    </w:div>
    <w:div w:id="732851627">
      <w:bodyDiv w:val="1"/>
      <w:marLeft w:val="0"/>
      <w:marRight w:val="0"/>
      <w:marTop w:val="0"/>
      <w:marBottom w:val="0"/>
      <w:divBdr>
        <w:top w:val="none" w:sz="0" w:space="0" w:color="auto"/>
        <w:left w:val="none" w:sz="0" w:space="0" w:color="auto"/>
        <w:bottom w:val="none" w:sz="0" w:space="0" w:color="auto"/>
        <w:right w:val="none" w:sz="0" w:space="0" w:color="auto"/>
      </w:divBdr>
    </w:div>
    <w:div w:id="754396942">
      <w:bodyDiv w:val="1"/>
      <w:marLeft w:val="0"/>
      <w:marRight w:val="0"/>
      <w:marTop w:val="0"/>
      <w:marBottom w:val="0"/>
      <w:divBdr>
        <w:top w:val="none" w:sz="0" w:space="0" w:color="auto"/>
        <w:left w:val="none" w:sz="0" w:space="0" w:color="auto"/>
        <w:bottom w:val="none" w:sz="0" w:space="0" w:color="auto"/>
        <w:right w:val="none" w:sz="0" w:space="0" w:color="auto"/>
      </w:divBdr>
    </w:div>
    <w:div w:id="1027297246">
      <w:bodyDiv w:val="1"/>
      <w:marLeft w:val="0"/>
      <w:marRight w:val="0"/>
      <w:marTop w:val="0"/>
      <w:marBottom w:val="0"/>
      <w:divBdr>
        <w:top w:val="none" w:sz="0" w:space="0" w:color="auto"/>
        <w:left w:val="none" w:sz="0" w:space="0" w:color="auto"/>
        <w:bottom w:val="none" w:sz="0" w:space="0" w:color="auto"/>
        <w:right w:val="none" w:sz="0" w:space="0" w:color="auto"/>
      </w:divBdr>
    </w:div>
    <w:div w:id="1164665987">
      <w:bodyDiv w:val="1"/>
      <w:marLeft w:val="0"/>
      <w:marRight w:val="0"/>
      <w:marTop w:val="0"/>
      <w:marBottom w:val="0"/>
      <w:divBdr>
        <w:top w:val="none" w:sz="0" w:space="0" w:color="auto"/>
        <w:left w:val="none" w:sz="0" w:space="0" w:color="auto"/>
        <w:bottom w:val="none" w:sz="0" w:space="0" w:color="auto"/>
        <w:right w:val="none" w:sz="0" w:space="0" w:color="auto"/>
      </w:divBdr>
    </w:div>
    <w:div w:id="1305351673">
      <w:bodyDiv w:val="1"/>
      <w:marLeft w:val="0"/>
      <w:marRight w:val="0"/>
      <w:marTop w:val="0"/>
      <w:marBottom w:val="0"/>
      <w:divBdr>
        <w:top w:val="none" w:sz="0" w:space="0" w:color="auto"/>
        <w:left w:val="none" w:sz="0" w:space="0" w:color="auto"/>
        <w:bottom w:val="none" w:sz="0" w:space="0" w:color="auto"/>
        <w:right w:val="none" w:sz="0" w:space="0" w:color="auto"/>
      </w:divBdr>
    </w:div>
    <w:div w:id="16015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ftkit.info/" TargetMode="External"/><Relationship Id="rId1" Type="http://schemas.openxmlformats.org/officeDocument/2006/relationships/hyperlink" Target="https://www.fcghana.org/userfiles/files/REDD+/Ghana%20REDD+%20Strategy.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Sheet2!$D$8</c:f>
              <c:strCache>
                <c:ptCount val="1"/>
                <c:pt idx="0">
                  <c:v>Men (Old)</c:v>
                </c:pt>
              </c:strCache>
            </c:strRef>
          </c:tx>
          <c:spPr>
            <a:ln w="28574" cap="rnd">
              <a:solidFill>
                <a:schemeClr val="accent1"/>
              </a:solidFill>
              <a:round/>
            </a:ln>
            <a:effectLst/>
          </c:spPr>
          <c:marker>
            <c:symbol val="circle"/>
            <c:size val="4"/>
            <c:spPr>
              <a:solidFill>
                <a:schemeClr val="accent1"/>
              </a:solidFill>
              <a:ln w="9525">
                <a:solidFill>
                  <a:schemeClr val="accent1"/>
                </a:solidFill>
              </a:ln>
              <a:effectLst/>
            </c:spPr>
          </c:marker>
          <c:cat>
            <c:strRef>
              <c:f>Sheet2!$C$9:$C$13</c:f>
              <c:strCache>
                <c:ptCount val="5"/>
                <c:pt idx="0">
                  <c:v>Land tenure rights and security</c:v>
                </c:pt>
                <c:pt idx="1">
                  <c:v>Influence on the landscape</c:v>
                </c:pt>
                <c:pt idx="2">
                  <c:v>Dependency on the landscape</c:v>
                </c:pt>
                <c:pt idx="3">
                  <c:v>Access to resource</c:v>
                </c:pt>
                <c:pt idx="4">
                  <c:v>Participation in decision making in the landscape</c:v>
                </c:pt>
              </c:strCache>
            </c:strRef>
          </c:cat>
          <c:val>
            <c:numRef>
              <c:f>Sheet2!$D$9:$D$13</c:f>
              <c:numCache>
                <c:formatCode>General</c:formatCode>
                <c:ptCount val="5"/>
                <c:pt idx="0">
                  <c:v>5</c:v>
                </c:pt>
                <c:pt idx="1">
                  <c:v>5</c:v>
                </c:pt>
                <c:pt idx="2">
                  <c:v>5</c:v>
                </c:pt>
                <c:pt idx="3">
                  <c:v>5</c:v>
                </c:pt>
                <c:pt idx="4">
                  <c:v>5</c:v>
                </c:pt>
              </c:numCache>
            </c:numRef>
          </c:val>
          <c:extLst>
            <c:ext xmlns:c16="http://schemas.microsoft.com/office/drawing/2014/chart" uri="{C3380CC4-5D6E-409C-BE32-E72D297353CC}">
              <c16:uniqueId val="{00000000-B0F9-4711-BE69-EADB7963E52D}"/>
            </c:ext>
          </c:extLst>
        </c:ser>
        <c:ser>
          <c:idx val="1"/>
          <c:order val="1"/>
          <c:tx>
            <c:strRef>
              <c:f>Sheet2!$E$8</c:f>
              <c:strCache>
                <c:ptCount val="1"/>
                <c:pt idx="0">
                  <c:v>Female (Old)</c:v>
                </c:pt>
              </c:strCache>
            </c:strRef>
          </c:tx>
          <c:spPr>
            <a:ln w="28574" cap="rnd">
              <a:solidFill>
                <a:schemeClr val="accent2"/>
              </a:solidFill>
              <a:round/>
            </a:ln>
            <a:effectLst/>
          </c:spPr>
          <c:marker>
            <c:symbol val="circle"/>
            <c:size val="4"/>
            <c:spPr>
              <a:solidFill>
                <a:schemeClr val="accent2"/>
              </a:solidFill>
              <a:ln w="9525">
                <a:solidFill>
                  <a:schemeClr val="accent2"/>
                </a:solidFill>
              </a:ln>
              <a:effectLst/>
            </c:spPr>
          </c:marker>
          <c:cat>
            <c:strRef>
              <c:f>Sheet2!$C$9:$C$13</c:f>
              <c:strCache>
                <c:ptCount val="5"/>
                <c:pt idx="0">
                  <c:v>Land tenure rights and security</c:v>
                </c:pt>
                <c:pt idx="1">
                  <c:v>Influence on the landscape</c:v>
                </c:pt>
                <c:pt idx="2">
                  <c:v>Dependency on the landscape</c:v>
                </c:pt>
                <c:pt idx="3">
                  <c:v>Access to resource</c:v>
                </c:pt>
                <c:pt idx="4">
                  <c:v>Participation in decision making in the landscape</c:v>
                </c:pt>
              </c:strCache>
            </c:strRef>
          </c:cat>
          <c:val>
            <c:numRef>
              <c:f>Sheet2!$E$9:$E$13</c:f>
              <c:numCache>
                <c:formatCode>General</c:formatCode>
                <c:ptCount val="5"/>
                <c:pt idx="0">
                  <c:v>2</c:v>
                </c:pt>
                <c:pt idx="1">
                  <c:v>4</c:v>
                </c:pt>
                <c:pt idx="2">
                  <c:v>5</c:v>
                </c:pt>
                <c:pt idx="3">
                  <c:v>2</c:v>
                </c:pt>
                <c:pt idx="4">
                  <c:v>2</c:v>
                </c:pt>
              </c:numCache>
            </c:numRef>
          </c:val>
          <c:extLst>
            <c:ext xmlns:c16="http://schemas.microsoft.com/office/drawing/2014/chart" uri="{C3380CC4-5D6E-409C-BE32-E72D297353CC}">
              <c16:uniqueId val="{00000001-B0F9-4711-BE69-EADB7963E52D}"/>
            </c:ext>
          </c:extLst>
        </c:ser>
        <c:ser>
          <c:idx val="2"/>
          <c:order val="2"/>
          <c:tx>
            <c:strRef>
              <c:f>Sheet2!$F$8</c:f>
              <c:strCache>
                <c:ptCount val="1"/>
                <c:pt idx="0">
                  <c:v>Men (Young)</c:v>
                </c:pt>
              </c:strCache>
            </c:strRef>
          </c:tx>
          <c:spPr>
            <a:ln w="28574" cap="rnd">
              <a:solidFill>
                <a:schemeClr val="accent3"/>
              </a:solidFill>
              <a:round/>
            </a:ln>
            <a:effectLst/>
          </c:spPr>
          <c:marker>
            <c:symbol val="circle"/>
            <c:size val="4"/>
            <c:spPr>
              <a:solidFill>
                <a:schemeClr val="accent3"/>
              </a:solidFill>
              <a:ln w="9525">
                <a:solidFill>
                  <a:schemeClr val="accent3"/>
                </a:solidFill>
              </a:ln>
              <a:effectLst/>
            </c:spPr>
          </c:marker>
          <c:cat>
            <c:strRef>
              <c:f>Sheet2!$C$9:$C$13</c:f>
              <c:strCache>
                <c:ptCount val="5"/>
                <c:pt idx="0">
                  <c:v>Land tenure rights and security</c:v>
                </c:pt>
                <c:pt idx="1">
                  <c:v>Influence on the landscape</c:v>
                </c:pt>
                <c:pt idx="2">
                  <c:v>Dependency on the landscape</c:v>
                </c:pt>
                <c:pt idx="3">
                  <c:v>Access to resource</c:v>
                </c:pt>
                <c:pt idx="4">
                  <c:v>Participation in decision making in the landscape</c:v>
                </c:pt>
              </c:strCache>
            </c:strRef>
          </c:cat>
          <c:val>
            <c:numRef>
              <c:f>Sheet2!$F$9:$F$13</c:f>
              <c:numCache>
                <c:formatCode>General</c:formatCode>
                <c:ptCount val="5"/>
                <c:pt idx="0">
                  <c:v>3</c:v>
                </c:pt>
                <c:pt idx="1">
                  <c:v>3</c:v>
                </c:pt>
                <c:pt idx="2">
                  <c:v>3</c:v>
                </c:pt>
                <c:pt idx="3">
                  <c:v>3</c:v>
                </c:pt>
                <c:pt idx="4">
                  <c:v>2</c:v>
                </c:pt>
              </c:numCache>
            </c:numRef>
          </c:val>
          <c:extLst>
            <c:ext xmlns:c16="http://schemas.microsoft.com/office/drawing/2014/chart" uri="{C3380CC4-5D6E-409C-BE32-E72D297353CC}">
              <c16:uniqueId val="{00000002-B0F9-4711-BE69-EADB7963E52D}"/>
            </c:ext>
          </c:extLst>
        </c:ser>
        <c:ser>
          <c:idx val="3"/>
          <c:order val="3"/>
          <c:tx>
            <c:strRef>
              <c:f>Sheet2!$G$8</c:f>
              <c:strCache>
                <c:ptCount val="1"/>
                <c:pt idx="0">
                  <c:v>Women (young)</c:v>
                </c:pt>
              </c:strCache>
            </c:strRef>
          </c:tx>
          <c:spPr>
            <a:ln w="28574" cap="rnd">
              <a:solidFill>
                <a:schemeClr val="accent4"/>
              </a:solidFill>
              <a:round/>
            </a:ln>
            <a:effectLst/>
          </c:spPr>
          <c:marker>
            <c:symbol val="circle"/>
            <c:size val="4"/>
            <c:spPr>
              <a:solidFill>
                <a:schemeClr val="accent4"/>
              </a:solidFill>
              <a:ln w="9525">
                <a:solidFill>
                  <a:schemeClr val="accent4"/>
                </a:solidFill>
              </a:ln>
              <a:effectLst/>
            </c:spPr>
          </c:marker>
          <c:cat>
            <c:strRef>
              <c:f>Sheet2!$C$9:$C$13</c:f>
              <c:strCache>
                <c:ptCount val="5"/>
                <c:pt idx="0">
                  <c:v>Land tenure rights and security</c:v>
                </c:pt>
                <c:pt idx="1">
                  <c:v>Influence on the landscape</c:v>
                </c:pt>
                <c:pt idx="2">
                  <c:v>Dependency on the landscape</c:v>
                </c:pt>
                <c:pt idx="3">
                  <c:v>Access to resource</c:v>
                </c:pt>
                <c:pt idx="4">
                  <c:v>Participation in decision making in the landscape</c:v>
                </c:pt>
              </c:strCache>
            </c:strRef>
          </c:cat>
          <c:val>
            <c:numRef>
              <c:f>Sheet2!$G$9:$G$13</c:f>
              <c:numCache>
                <c:formatCode>General</c:formatCode>
                <c:ptCount val="5"/>
                <c:pt idx="0">
                  <c:v>1</c:v>
                </c:pt>
                <c:pt idx="1">
                  <c:v>1</c:v>
                </c:pt>
                <c:pt idx="2">
                  <c:v>2</c:v>
                </c:pt>
                <c:pt idx="3">
                  <c:v>2</c:v>
                </c:pt>
                <c:pt idx="4">
                  <c:v>1</c:v>
                </c:pt>
              </c:numCache>
            </c:numRef>
          </c:val>
          <c:extLst>
            <c:ext xmlns:c16="http://schemas.microsoft.com/office/drawing/2014/chart" uri="{C3380CC4-5D6E-409C-BE32-E72D297353CC}">
              <c16:uniqueId val="{00000003-B0F9-4711-BE69-EADB7963E52D}"/>
            </c:ext>
          </c:extLst>
        </c:ser>
        <c:dLbls>
          <c:showLegendKey val="0"/>
          <c:showVal val="0"/>
          <c:showCatName val="0"/>
          <c:showSerName val="0"/>
          <c:showPercent val="0"/>
          <c:showBubbleSize val="0"/>
        </c:dLbls>
        <c:axId val="223188152"/>
        <c:axId val="1"/>
      </c:radarChart>
      <c:catAx>
        <c:axId val="223188152"/>
        <c:scaling>
          <c:orientation val="minMax"/>
        </c:scaling>
        <c:delete val="0"/>
        <c:axPos val="b"/>
        <c:majorGridlines>
          <c:spPr>
            <a:ln w="6350">
              <a:noFill/>
            </a:ln>
          </c:spPr>
        </c:majorGridlines>
        <c:numFmt formatCode="General" sourceLinked="1"/>
        <c:majorTickMark val="out"/>
        <c:minorTickMark val="none"/>
        <c:tickLblPos val="nextTo"/>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23188152"/>
        <c:crosses val="autoZero"/>
        <c:crossBetween val="between"/>
        <c:majorUnit val="1"/>
      </c:valAx>
      <c:spPr>
        <a:noFill/>
        <a:ln w="25399">
          <a:noFill/>
        </a:ln>
      </c:spPr>
    </c:plotArea>
    <c:legend>
      <c:legendPos val="r"/>
      <c:layout>
        <c:manualLayout>
          <c:xMode val="edge"/>
          <c:yMode val="edge"/>
          <c:x val="0.12574850299401197"/>
          <c:y val="2.2842639593908629E-2"/>
          <c:w val="0.74700598802395213"/>
          <c:h val="6.3451776649746189E-2"/>
        </c:manualLayout>
      </c:layout>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2">
    <c:autoUpdate val="0"/>
  </c:externalData>
</c:chartSpace>
</file>

<file path=word/theme/theme1.xml><?xml version="1.0" encoding="utf-8"?>
<a:theme xmlns:a="http://schemas.openxmlformats.org/drawingml/2006/main" name="Office Theme">
  <a:themeElements>
    <a:clrScheme name="IUCN NL">
      <a:dk1>
        <a:srgbClr val="000000"/>
      </a:dk1>
      <a:lt1>
        <a:sysClr val="window" lastClr="FFFFFF"/>
      </a:lt1>
      <a:dk2>
        <a:srgbClr val="808080"/>
      </a:dk2>
      <a:lt2>
        <a:srgbClr val="C5E1FE"/>
      </a:lt2>
      <a:accent1>
        <a:srgbClr val="0098C3"/>
      </a:accent1>
      <a:accent2>
        <a:srgbClr val="808080"/>
      </a:accent2>
      <a:accent3>
        <a:srgbClr val="3E505C"/>
      </a:accent3>
      <a:accent4>
        <a:srgbClr val="386489"/>
      </a:accent4>
      <a:accent5>
        <a:srgbClr val="4C80AF"/>
      </a:accent5>
      <a:accent6>
        <a:srgbClr val="7DA7D1"/>
      </a:accent6>
      <a:hlink>
        <a:srgbClr val="0098C3"/>
      </a:hlink>
      <a:folHlink>
        <a:srgbClr val="0098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0FD7-3634-48A9-85F3-A96B2954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11978</Words>
  <Characters>65883</Characters>
  <Application>Microsoft Office Word</Application>
  <DocSecurity>0</DocSecurity>
  <Lines>549</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IUCN NL</vt:lpstr>
      <vt:lpstr>IUCN NL</vt:lpstr>
    </vt:vector>
  </TitlesOfParts>
  <Company>IUCN NL</Company>
  <LinksUpToDate>false</LinksUpToDate>
  <CharactersWithSpaces>77706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NL</dc:title>
  <dc:subject/>
  <dc:creator>Fanny Verkuijlen</dc:creator>
  <cp:keywords/>
  <dc:description/>
  <cp:lastModifiedBy>Eveline Trines</cp:lastModifiedBy>
  <cp:revision>3</cp:revision>
  <cp:lastPrinted>2020-04-01T08:09:00Z</cp:lastPrinted>
  <dcterms:created xsi:type="dcterms:W3CDTF">2020-05-01T07:45:00Z</dcterms:created>
  <dcterms:modified xsi:type="dcterms:W3CDTF">2020-05-01T07:57:00Z</dcterms:modified>
</cp:coreProperties>
</file>